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4A6" w:rsidRDefault="005C54A6" w:rsidP="002B663A">
      <w:pPr>
        <w:autoSpaceDE w:val="0"/>
        <w:autoSpaceDN w:val="0"/>
        <w:adjustRightInd w:val="0"/>
        <w:spacing w:before="840" w:after="0" w:line="240" w:lineRule="auto"/>
      </w:pPr>
      <w:r w:rsidRPr="005C54A6">
        <w:rPr>
          <w:rFonts w:cs="Lucida Sans Unicode"/>
          <w:color w:val="000000"/>
          <w:shd w:val="clear" w:color="auto" w:fill="FFFFFF"/>
        </w:rPr>
        <w:t>Committee Secretary</w:t>
      </w:r>
      <w:r w:rsidRPr="005C54A6">
        <w:rPr>
          <w:rFonts w:cs="Lucida Sans Unicode"/>
          <w:color w:val="000000"/>
        </w:rPr>
        <w:br/>
      </w:r>
      <w:r w:rsidRPr="005C54A6">
        <w:rPr>
          <w:rFonts w:cs="Lucida Sans Unicode"/>
          <w:color w:val="000000"/>
          <w:shd w:val="clear" w:color="auto" w:fill="FFFFFF"/>
        </w:rPr>
        <w:t>Senate Education and Employment Committees</w:t>
      </w:r>
      <w:r w:rsidRPr="005C54A6">
        <w:rPr>
          <w:rFonts w:cs="Lucida Sans Unicode"/>
          <w:color w:val="000000"/>
        </w:rPr>
        <w:br/>
      </w:r>
      <w:r w:rsidRPr="005C54A6">
        <w:rPr>
          <w:rFonts w:cs="Lucida Sans Unicode"/>
          <w:color w:val="000000"/>
          <w:shd w:val="clear" w:color="auto" w:fill="FFFFFF"/>
        </w:rPr>
        <w:t>PO Box 6100</w:t>
      </w:r>
      <w:r w:rsidRPr="005C54A6">
        <w:rPr>
          <w:rFonts w:cs="Lucida Sans Unicode"/>
          <w:color w:val="000000"/>
        </w:rPr>
        <w:br/>
      </w:r>
      <w:r w:rsidRPr="005C54A6">
        <w:rPr>
          <w:rFonts w:cs="Lucida Sans Unicode"/>
          <w:color w:val="000000"/>
          <w:shd w:val="clear" w:color="auto" w:fill="FFFFFF"/>
        </w:rPr>
        <w:t>Parliament House</w:t>
      </w:r>
      <w:r w:rsidRPr="005C54A6">
        <w:rPr>
          <w:rFonts w:cs="Lucida Sans Unicode"/>
          <w:color w:val="000000"/>
        </w:rPr>
        <w:br/>
      </w:r>
      <w:r w:rsidRPr="005C54A6">
        <w:rPr>
          <w:rFonts w:cs="Lucida Sans Unicode"/>
          <w:color w:val="000000"/>
          <w:shd w:val="clear" w:color="auto" w:fill="FFFFFF"/>
        </w:rPr>
        <w:t>Canberra ACT 2600</w:t>
      </w:r>
      <w:r w:rsidRPr="005C54A6">
        <w:rPr>
          <w:rFonts w:cs="Lucida Sans Unicode"/>
          <w:color w:val="000000"/>
        </w:rPr>
        <w:br/>
      </w:r>
      <w:r w:rsidRPr="005C54A6">
        <w:rPr>
          <w:rFonts w:cs="Lucida Sans Unicode"/>
          <w:color w:val="000000"/>
        </w:rPr>
        <w:br/>
      </w:r>
      <w:r w:rsidRPr="005C54A6">
        <w:rPr>
          <w:rFonts w:cs="Lucida Sans Unicode"/>
          <w:color w:val="000000"/>
          <w:shd w:val="clear" w:color="auto" w:fill="FFFFFF"/>
        </w:rPr>
        <w:t>Phone: +61 2 6277 3521</w:t>
      </w:r>
      <w:r w:rsidRPr="005C54A6">
        <w:rPr>
          <w:rFonts w:cs="Lucida Sans Unicode"/>
          <w:color w:val="000000"/>
        </w:rPr>
        <w:br/>
      </w:r>
      <w:r w:rsidRPr="005C54A6">
        <w:rPr>
          <w:rFonts w:cs="Lucida Sans Unicode"/>
          <w:color w:val="000000"/>
          <w:shd w:val="clear" w:color="auto" w:fill="FFFFFF"/>
        </w:rPr>
        <w:t>Fax: +61 2 6277 5706</w:t>
      </w:r>
      <w:r w:rsidRPr="005C54A6">
        <w:rPr>
          <w:rFonts w:cs="Lucida Sans Unicode"/>
          <w:color w:val="000000"/>
        </w:rPr>
        <w:br/>
      </w:r>
      <w:hyperlink r:id="rId9" w:history="1">
        <w:r w:rsidRPr="005C54A6">
          <w:rPr>
            <w:rStyle w:val="Hyperlink"/>
            <w:rFonts w:cs="Lucida Sans Unicode"/>
            <w:color w:val="551A8B"/>
            <w:shd w:val="clear" w:color="auto" w:fill="FFFFFF"/>
          </w:rPr>
          <w:t>eec.sen@aph.gov.au</w:t>
        </w:r>
      </w:hyperlink>
    </w:p>
    <w:p w:rsidR="005C54A6" w:rsidRDefault="005C54A6" w:rsidP="005C54A6"/>
    <w:p w:rsidR="005C54A6" w:rsidRDefault="005C54A6" w:rsidP="005C54A6">
      <w:pPr>
        <w:pStyle w:val="Heading1"/>
      </w:pPr>
      <w:r>
        <w:t>Technical and further education in Australia</w:t>
      </w:r>
    </w:p>
    <w:p w:rsidR="00C13AA6" w:rsidRDefault="00C13AA6" w:rsidP="002B663A">
      <w:pPr>
        <w:spacing w:before="240" w:after="120" w:line="240" w:lineRule="auto"/>
        <w:rPr>
          <w:rFonts w:ascii="Calibri" w:eastAsia="Times New Roman" w:hAnsi="Calibri" w:cs="Calibri"/>
          <w:color w:val="000000"/>
          <w:lang w:eastAsia="en-AU"/>
        </w:rPr>
      </w:pPr>
    </w:p>
    <w:p w:rsidR="002B663A" w:rsidRPr="00C13AA6" w:rsidRDefault="002B663A" w:rsidP="002B663A">
      <w:pPr>
        <w:spacing w:before="240" w:after="120" w:line="240" w:lineRule="auto"/>
        <w:rPr>
          <w:rFonts w:ascii="Calibri" w:eastAsia="Times New Roman" w:hAnsi="Calibri" w:cs="Calibri"/>
          <w:color w:val="000000"/>
          <w:lang w:eastAsia="en-AU"/>
        </w:rPr>
      </w:pPr>
      <w:r>
        <w:rPr>
          <w:rFonts w:ascii="Calibri" w:eastAsia="Times New Roman" w:hAnsi="Calibri" w:cs="Calibri"/>
          <w:color w:val="000000"/>
          <w:lang w:eastAsia="en-AU"/>
        </w:rPr>
        <w:t>Dear Secretary</w:t>
      </w:r>
    </w:p>
    <w:p w:rsidR="00C13AA6" w:rsidRDefault="00C13AA6" w:rsidP="00C13AA6">
      <w:pPr>
        <w:spacing w:before="240" w:after="120" w:line="240" w:lineRule="auto"/>
        <w:rPr>
          <w:rFonts w:ascii="Calibri" w:eastAsia="Times New Roman" w:hAnsi="Calibri" w:cs="Calibri"/>
          <w:color w:val="000000"/>
          <w:lang w:eastAsia="en-AU"/>
        </w:rPr>
      </w:pPr>
      <w:r w:rsidRPr="00C13AA6">
        <w:rPr>
          <w:rFonts w:ascii="Calibri" w:eastAsia="Times New Roman" w:hAnsi="Calibri" w:cs="Calibri"/>
          <w:color w:val="000000"/>
          <w:lang w:eastAsia="en-AU"/>
        </w:rPr>
        <w:t xml:space="preserve">Please find attached the </w:t>
      </w:r>
      <w:r w:rsidR="005C54A6">
        <w:rPr>
          <w:rFonts w:ascii="Calibri" w:eastAsia="Times New Roman" w:hAnsi="Calibri" w:cs="Calibri"/>
          <w:color w:val="000000"/>
          <w:lang w:eastAsia="en-AU"/>
        </w:rPr>
        <w:t xml:space="preserve">supplementary </w:t>
      </w:r>
      <w:r w:rsidRPr="00C13AA6">
        <w:rPr>
          <w:rFonts w:ascii="Calibri" w:eastAsia="Times New Roman" w:hAnsi="Calibri" w:cs="Calibri"/>
          <w:color w:val="000000"/>
          <w:lang w:eastAsia="en-AU"/>
        </w:rPr>
        <w:t xml:space="preserve">submission of the Australian Manufacturing Workers’ Union </w:t>
      </w:r>
      <w:r w:rsidR="004C4F93">
        <w:rPr>
          <w:rFonts w:ascii="Calibri" w:eastAsia="Times New Roman" w:hAnsi="Calibri" w:cs="Calibri"/>
          <w:color w:val="000000"/>
          <w:lang w:eastAsia="en-AU"/>
        </w:rPr>
        <w:t xml:space="preserve">to the Inquiry being undertaken by the </w:t>
      </w:r>
      <w:r w:rsidR="005C54A6">
        <w:rPr>
          <w:rFonts w:ascii="Calibri" w:eastAsia="Times New Roman" w:hAnsi="Calibri" w:cs="Calibri"/>
          <w:color w:val="000000"/>
          <w:lang w:eastAsia="en-AU"/>
        </w:rPr>
        <w:t xml:space="preserve">Committee into </w:t>
      </w:r>
      <w:r w:rsidR="004C4F93">
        <w:rPr>
          <w:rFonts w:ascii="Calibri" w:eastAsia="Times New Roman" w:hAnsi="Calibri" w:cs="Calibri"/>
          <w:color w:val="000000"/>
          <w:lang w:eastAsia="en-AU"/>
        </w:rPr>
        <w:t xml:space="preserve">Technical and </w:t>
      </w:r>
      <w:r w:rsidR="005C54A6">
        <w:rPr>
          <w:rFonts w:ascii="Calibri" w:eastAsia="Times New Roman" w:hAnsi="Calibri" w:cs="Calibri"/>
          <w:color w:val="000000"/>
          <w:lang w:eastAsia="en-AU"/>
        </w:rPr>
        <w:t>further education in Australia</w:t>
      </w:r>
      <w:r w:rsidR="004C4F93">
        <w:rPr>
          <w:rFonts w:ascii="Calibri" w:eastAsia="Times New Roman" w:hAnsi="Calibri" w:cs="Calibri"/>
          <w:color w:val="000000"/>
          <w:lang w:eastAsia="en-AU"/>
        </w:rPr>
        <w:t>.</w:t>
      </w:r>
    </w:p>
    <w:p w:rsidR="00C13AA6" w:rsidRPr="00C13AA6" w:rsidRDefault="00C13AA6" w:rsidP="00C13AA6">
      <w:pPr>
        <w:spacing w:before="240" w:after="120" w:line="240" w:lineRule="auto"/>
        <w:rPr>
          <w:rFonts w:ascii="Calibri" w:eastAsia="Times New Roman" w:hAnsi="Calibri" w:cs="Calibri"/>
          <w:color w:val="000000"/>
          <w:lang w:eastAsia="en-AU"/>
        </w:rPr>
      </w:pPr>
      <w:r w:rsidRPr="00C13AA6">
        <w:rPr>
          <w:rFonts w:ascii="Calibri" w:eastAsia="Times New Roman" w:hAnsi="Calibri" w:cs="Calibri"/>
          <w:color w:val="000000"/>
          <w:lang w:eastAsia="en-AU"/>
        </w:rPr>
        <w:t>The contact person for our submission is:</w:t>
      </w:r>
    </w:p>
    <w:tbl>
      <w:tblPr>
        <w:tblW w:w="6379" w:type="dxa"/>
        <w:tblInd w:w="1242" w:type="dxa"/>
        <w:tblBorders>
          <w:top w:val="nil"/>
          <w:left w:val="nil"/>
          <w:bottom w:val="nil"/>
          <w:right w:val="nil"/>
        </w:tblBorders>
        <w:tblLayout w:type="fixed"/>
        <w:tblLook w:val="0000" w:firstRow="0" w:lastRow="0" w:firstColumn="0" w:lastColumn="0" w:noHBand="0" w:noVBand="0"/>
      </w:tblPr>
      <w:tblGrid>
        <w:gridCol w:w="6379"/>
      </w:tblGrid>
      <w:tr w:rsidR="00C13AA6" w:rsidRPr="00C13AA6" w:rsidTr="00A7613F">
        <w:trPr>
          <w:trHeight w:val="112"/>
        </w:trPr>
        <w:tc>
          <w:tcPr>
            <w:tcW w:w="6379" w:type="dxa"/>
            <w:tcMar>
              <w:top w:w="113" w:type="dxa"/>
              <w:bottom w:w="113" w:type="dxa"/>
            </w:tcMar>
          </w:tcPr>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Ian Curry</w:t>
            </w: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National Coordinator</w:t>
            </w:r>
            <w:r w:rsidRPr="00C13AA6">
              <w:rPr>
                <w:rFonts w:ascii="Verdana" w:eastAsia="Times New Roman" w:hAnsi="Verdana" w:cs="Arial"/>
                <w:color w:val="000000"/>
                <w:sz w:val="16"/>
                <w:szCs w:val="16"/>
                <w:lang w:val="en-US"/>
              </w:rPr>
              <w:br/>
              <w:t>Skills Training &amp; Apprenticeships Policy</w:t>
            </w: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Australian Manufacturing Workers’ Union</w:t>
            </w: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GPO Box 1051</w:t>
            </w: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ADELAIDE SA 5001</w:t>
            </w:r>
          </w:p>
        </w:tc>
      </w:tr>
      <w:tr w:rsidR="00C13AA6" w:rsidRPr="00C13AA6" w:rsidTr="00A7613F">
        <w:trPr>
          <w:trHeight w:val="112"/>
        </w:trPr>
        <w:tc>
          <w:tcPr>
            <w:tcW w:w="6379" w:type="dxa"/>
            <w:tcMar>
              <w:top w:w="113" w:type="dxa"/>
              <w:bottom w:w="113" w:type="dxa"/>
            </w:tcMar>
          </w:tcPr>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08 8366 5800</w:t>
            </w: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0418 810 072</w:t>
            </w:r>
          </w:p>
        </w:tc>
      </w:tr>
      <w:tr w:rsidR="00C13AA6" w:rsidRPr="00C13AA6" w:rsidTr="00A7613F">
        <w:trPr>
          <w:trHeight w:val="112"/>
        </w:trPr>
        <w:tc>
          <w:tcPr>
            <w:tcW w:w="6379" w:type="dxa"/>
            <w:tcMar>
              <w:top w:w="113" w:type="dxa"/>
              <w:bottom w:w="113" w:type="dxa"/>
            </w:tcMar>
          </w:tcPr>
          <w:p w:rsidR="00C13AA6" w:rsidRPr="00C13AA6" w:rsidRDefault="00957D52" w:rsidP="00C13AA6">
            <w:pPr>
              <w:autoSpaceDE w:val="0"/>
              <w:autoSpaceDN w:val="0"/>
              <w:adjustRightInd w:val="0"/>
              <w:spacing w:after="0" w:line="240" w:lineRule="auto"/>
              <w:rPr>
                <w:rFonts w:ascii="Verdana" w:eastAsia="Times New Roman" w:hAnsi="Verdana" w:cs="Arial"/>
                <w:color w:val="000000"/>
                <w:sz w:val="16"/>
                <w:szCs w:val="16"/>
                <w:lang w:val="en-US"/>
              </w:rPr>
            </w:pPr>
            <w:hyperlink r:id="rId10" w:history="1">
              <w:r w:rsidR="00C13AA6" w:rsidRPr="00C13AA6">
                <w:rPr>
                  <w:rFonts w:ascii="Verdana" w:eastAsia="Times New Roman" w:hAnsi="Verdana" w:cs="Arial"/>
                  <w:color w:val="0000FF"/>
                  <w:sz w:val="16"/>
                  <w:szCs w:val="16"/>
                  <w:u w:val="single"/>
                  <w:lang w:val="en-US"/>
                </w:rPr>
                <w:t>ian.curry@amwu.asn.au</w:t>
              </w:r>
            </w:hyperlink>
            <w:r w:rsidR="00C13AA6" w:rsidRPr="00C13AA6">
              <w:rPr>
                <w:rFonts w:ascii="Verdana" w:eastAsia="Times New Roman" w:hAnsi="Verdana" w:cs="Arial"/>
                <w:color w:val="000000"/>
                <w:sz w:val="16"/>
                <w:szCs w:val="16"/>
                <w:lang w:val="en-US"/>
              </w:rPr>
              <w:t xml:space="preserve"> </w:t>
            </w:r>
          </w:p>
        </w:tc>
      </w:tr>
    </w:tbl>
    <w:p w:rsidR="00C13AA6" w:rsidRPr="00C13AA6" w:rsidRDefault="00C13AA6" w:rsidP="00C13AA6">
      <w:pPr>
        <w:spacing w:before="240" w:after="120" w:line="240" w:lineRule="auto"/>
        <w:rPr>
          <w:rFonts w:ascii="Calibri" w:eastAsia="Times New Roman" w:hAnsi="Calibri" w:cs="Calibri"/>
          <w:color w:val="000000"/>
          <w:lang w:eastAsia="en-AU"/>
        </w:rPr>
      </w:pPr>
      <w:r w:rsidRPr="00C13AA6">
        <w:rPr>
          <w:rFonts w:ascii="Calibri" w:eastAsia="Times New Roman" w:hAnsi="Calibri" w:cs="Calibri"/>
          <w:color w:val="000000"/>
          <w:lang w:eastAsia="en-AU"/>
        </w:rPr>
        <w:t>Yours sincerely,</w:t>
      </w:r>
    </w:p>
    <w:p w:rsidR="00C13AA6" w:rsidRPr="00C13AA6" w:rsidRDefault="00C13AA6" w:rsidP="00C13AA6">
      <w:pPr>
        <w:spacing w:before="240" w:after="120" w:line="240" w:lineRule="auto"/>
        <w:rPr>
          <w:rFonts w:ascii="Calibri" w:eastAsia="Times New Roman" w:hAnsi="Calibri" w:cs="Calibri"/>
          <w:color w:val="000000"/>
          <w:lang w:eastAsia="en-AU"/>
        </w:rPr>
      </w:pPr>
      <w:r w:rsidRPr="00C13AA6">
        <w:rPr>
          <w:rFonts w:ascii="Calibri" w:eastAsia="Times New Roman" w:hAnsi="Calibri" w:cs="Calibri"/>
          <w:color w:val="000000"/>
          <w:lang w:eastAsia="en-AU"/>
        </w:rPr>
        <w:t>Andrew Dettmer</w:t>
      </w:r>
      <w:r w:rsidRPr="00C13AA6">
        <w:rPr>
          <w:rFonts w:ascii="Calibri" w:eastAsia="Times New Roman" w:hAnsi="Calibri" w:cs="Calibri"/>
          <w:color w:val="000000"/>
          <w:lang w:eastAsia="en-AU"/>
        </w:rPr>
        <w:br/>
        <w:t>National President</w:t>
      </w:r>
    </w:p>
    <w:p w:rsidR="00C13AA6" w:rsidRPr="00C13AA6" w:rsidRDefault="00C13AA6" w:rsidP="00C13AA6">
      <w:pPr>
        <w:spacing w:before="240" w:after="120" w:line="240" w:lineRule="auto"/>
        <w:rPr>
          <w:rFonts w:ascii="Calibri" w:eastAsia="Times New Roman" w:hAnsi="Calibri" w:cs="Calibri"/>
          <w:color w:val="000000"/>
          <w:lang w:eastAsia="en-AU"/>
        </w:rPr>
      </w:pPr>
      <w:r w:rsidRPr="00C13AA6">
        <w:rPr>
          <w:rFonts w:ascii="Calibri" w:eastAsia="Times New Roman" w:hAnsi="Calibri" w:cs="Calibri"/>
          <w:color w:val="000000"/>
          <w:lang w:eastAsia="en-AU"/>
        </w:rPr>
        <w:t>Australian Manufacturing Workers’ Union</w:t>
      </w:r>
    </w:p>
    <w:p w:rsidR="00C13AA6" w:rsidRPr="00C13AA6" w:rsidRDefault="00C13AA6" w:rsidP="000C742D">
      <w:pPr>
        <w:spacing w:after="1440" w:line="240" w:lineRule="auto"/>
        <w:jc w:val="center"/>
        <w:rPr>
          <w:rFonts w:ascii="Verdana" w:eastAsia="Times New Roman" w:hAnsi="Verdana" w:cs="Times New Roman"/>
          <w:sz w:val="32"/>
          <w:szCs w:val="32"/>
          <w:lang w:eastAsia="ja-JP"/>
        </w:rPr>
      </w:pPr>
      <w:r w:rsidRPr="00C13AA6">
        <w:rPr>
          <w:rFonts w:ascii="Verdana" w:eastAsia="Times New Roman" w:hAnsi="Verdana" w:cs="Times New Roman"/>
          <w:sz w:val="32"/>
          <w:szCs w:val="32"/>
          <w:lang w:eastAsia="ja-JP"/>
        </w:rPr>
        <w:br w:type="page"/>
      </w:r>
      <w:r>
        <w:rPr>
          <w:rFonts w:ascii="Verdana" w:eastAsia="Times New Roman" w:hAnsi="Verdana" w:cs="Times New Roman"/>
          <w:noProof/>
          <w:sz w:val="32"/>
          <w:szCs w:val="32"/>
          <w:lang w:eastAsia="en-AU"/>
        </w:rPr>
        <w:lastRenderedPageBreak/>
        <w:drawing>
          <wp:inline distT="0" distB="0" distL="0" distR="0">
            <wp:extent cx="1543050" cy="1543050"/>
            <wp:effectExtent l="0" t="0" r="0" b="0"/>
            <wp:docPr id="1" name="Picture 1" descr="AWMU4co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WMU4col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inline>
        </w:drawing>
      </w:r>
    </w:p>
    <w:p w:rsidR="00C13AA6" w:rsidRPr="00C13AA6" w:rsidRDefault="00C13AA6" w:rsidP="000C742D">
      <w:pPr>
        <w:spacing w:after="1200" w:line="240" w:lineRule="auto"/>
        <w:jc w:val="center"/>
        <w:rPr>
          <w:rFonts w:ascii="Verdana" w:eastAsia="Times New Roman" w:hAnsi="Verdana" w:cs="Times New Roman"/>
          <w:b/>
          <w:color w:val="002060"/>
          <w:sz w:val="28"/>
          <w:szCs w:val="28"/>
          <w:lang w:val="en-US"/>
        </w:rPr>
      </w:pPr>
      <w:r w:rsidRPr="00C13AA6">
        <w:rPr>
          <w:rFonts w:ascii="Verdana" w:eastAsia="Times New Roman" w:hAnsi="Verdana" w:cs="Times New Roman"/>
          <w:b/>
          <w:color w:val="002060"/>
          <w:sz w:val="28"/>
          <w:szCs w:val="28"/>
          <w:lang w:val="en-US"/>
        </w:rPr>
        <w:t>Australian Manufacturing Workers’ Union</w:t>
      </w:r>
      <w:r w:rsidR="000C742D" w:rsidRPr="000C742D">
        <w:rPr>
          <w:rFonts w:ascii="Verdana" w:eastAsia="Times New Roman" w:hAnsi="Verdana" w:cs="Times New Roman"/>
          <w:b/>
          <w:color w:val="002060"/>
          <w:sz w:val="28"/>
          <w:szCs w:val="28"/>
          <w:lang w:val="en-US"/>
        </w:rPr>
        <w:br/>
      </w:r>
      <w:r w:rsidR="005C54A6">
        <w:rPr>
          <w:rFonts w:ascii="Verdana" w:eastAsia="Times New Roman" w:hAnsi="Verdana" w:cs="Times New Roman"/>
          <w:b/>
          <w:color w:val="002060"/>
          <w:sz w:val="28"/>
          <w:szCs w:val="28"/>
          <w:lang w:val="en-US"/>
        </w:rPr>
        <w:t xml:space="preserve">Supplementary </w:t>
      </w:r>
      <w:r w:rsidRPr="000C742D">
        <w:rPr>
          <w:rFonts w:ascii="Verdana" w:eastAsia="Times New Roman" w:hAnsi="Verdana" w:cs="Times New Roman"/>
          <w:b/>
          <w:color w:val="002060"/>
          <w:sz w:val="28"/>
          <w:szCs w:val="28"/>
          <w:lang w:val="en-US"/>
        </w:rPr>
        <w:t>Submission</w:t>
      </w:r>
    </w:p>
    <w:p w:rsidR="00C13AA6" w:rsidRPr="005C54A6" w:rsidRDefault="005C54A6" w:rsidP="005C54A6">
      <w:pPr>
        <w:jc w:val="center"/>
        <w:rPr>
          <w:rFonts w:ascii="Arial" w:eastAsia="Calibri" w:hAnsi="Arial" w:cs="Arial"/>
          <w:b/>
        </w:rPr>
      </w:pPr>
      <w:r w:rsidRPr="005C54A6">
        <w:rPr>
          <w:rFonts w:ascii="Verdana" w:eastAsia="Times New Roman" w:hAnsi="Verdana" w:cs="Times New Roman"/>
          <w:b/>
          <w:color w:val="002060"/>
          <w:sz w:val="28"/>
          <w:szCs w:val="28"/>
          <w:lang w:val="en-US"/>
        </w:rPr>
        <w:t>Senate Education and Employment References Committee</w:t>
      </w:r>
      <w:r w:rsidR="00C13AA6" w:rsidRPr="000C742D">
        <w:rPr>
          <w:rFonts w:ascii="Verdana" w:eastAsia="Times New Roman" w:hAnsi="Verdana" w:cs="Times New Roman"/>
          <w:b/>
          <w:color w:val="002060"/>
          <w:sz w:val="28"/>
          <w:szCs w:val="28"/>
          <w:lang w:val="en-US"/>
        </w:rPr>
        <w:t>:</w:t>
      </w:r>
    </w:p>
    <w:p w:rsidR="00C13AA6" w:rsidRDefault="00C13AA6" w:rsidP="000C742D">
      <w:pPr>
        <w:spacing w:before="240" w:after="1320" w:line="240" w:lineRule="auto"/>
        <w:jc w:val="center"/>
        <w:rPr>
          <w:rFonts w:ascii="Verdana" w:eastAsia="Times New Roman" w:hAnsi="Verdana" w:cs="Times New Roman"/>
          <w:b/>
          <w:i/>
          <w:color w:val="002060"/>
          <w:sz w:val="32"/>
          <w:szCs w:val="32"/>
          <w:lang w:val="en-US"/>
        </w:rPr>
      </w:pPr>
      <w:r w:rsidRPr="00C13AA6">
        <w:rPr>
          <w:rFonts w:ascii="Verdana" w:eastAsia="Times New Roman" w:hAnsi="Verdana" w:cs="Times New Roman"/>
          <w:b/>
          <w:i/>
          <w:color w:val="002060"/>
          <w:sz w:val="32"/>
          <w:szCs w:val="32"/>
          <w:lang w:val="en-US"/>
        </w:rPr>
        <w:t xml:space="preserve">Inquiry into Technical and </w:t>
      </w:r>
      <w:r w:rsidR="005C54A6" w:rsidRPr="00C13AA6">
        <w:rPr>
          <w:rFonts w:ascii="Verdana" w:eastAsia="Times New Roman" w:hAnsi="Verdana" w:cs="Times New Roman"/>
          <w:b/>
          <w:i/>
          <w:color w:val="002060"/>
          <w:sz w:val="32"/>
          <w:szCs w:val="32"/>
          <w:lang w:val="en-US"/>
        </w:rPr>
        <w:t xml:space="preserve">further education </w:t>
      </w:r>
      <w:r w:rsidR="005C54A6">
        <w:rPr>
          <w:rFonts w:ascii="Verdana" w:eastAsia="Times New Roman" w:hAnsi="Verdana" w:cs="Times New Roman"/>
          <w:b/>
          <w:i/>
          <w:color w:val="002060"/>
          <w:sz w:val="32"/>
          <w:szCs w:val="32"/>
          <w:lang w:val="en-US"/>
        </w:rPr>
        <w:t>in Australia</w:t>
      </w:r>
    </w:p>
    <w:p w:rsidR="005C54A6" w:rsidRDefault="005C54A6" w:rsidP="00C13AA6">
      <w:pPr>
        <w:spacing w:before="1560" w:after="120" w:line="240" w:lineRule="auto"/>
        <w:jc w:val="center"/>
        <w:rPr>
          <w:rFonts w:ascii="Verdana" w:eastAsia="Times New Roman" w:hAnsi="Verdana" w:cs="Times New Roman"/>
          <w:b/>
          <w:color w:val="002060"/>
          <w:sz w:val="32"/>
          <w:szCs w:val="32"/>
          <w:lang w:val="en-US"/>
        </w:rPr>
      </w:pPr>
    </w:p>
    <w:p w:rsidR="005C54A6" w:rsidRDefault="005C54A6" w:rsidP="00C13AA6">
      <w:pPr>
        <w:spacing w:before="1560" w:after="120" w:line="240" w:lineRule="auto"/>
        <w:jc w:val="center"/>
        <w:rPr>
          <w:rFonts w:ascii="Verdana" w:eastAsia="Times New Roman" w:hAnsi="Verdana" w:cs="Times New Roman"/>
          <w:b/>
          <w:color w:val="002060"/>
          <w:sz w:val="32"/>
          <w:szCs w:val="32"/>
          <w:lang w:val="en-US"/>
        </w:rPr>
      </w:pPr>
    </w:p>
    <w:p w:rsidR="00C13AA6" w:rsidRPr="00C13AA6" w:rsidRDefault="005C54A6" w:rsidP="00C13AA6">
      <w:pPr>
        <w:spacing w:before="1560" w:after="120" w:line="240" w:lineRule="auto"/>
        <w:jc w:val="center"/>
        <w:rPr>
          <w:rFonts w:ascii="Verdana" w:eastAsia="Times New Roman" w:hAnsi="Verdana" w:cs="Times New Roman"/>
          <w:b/>
          <w:color w:val="002060"/>
          <w:sz w:val="32"/>
          <w:szCs w:val="32"/>
          <w:lang w:val="en-US"/>
        </w:rPr>
      </w:pPr>
      <w:r>
        <w:rPr>
          <w:rFonts w:ascii="Verdana" w:eastAsia="Times New Roman" w:hAnsi="Verdana" w:cs="Times New Roman"/>
          <w:b/>
          <w:color w:val="002060"/>
          <w:sz w:val="32"/>
          <w:szCs w:val="32"/>
          <w:lang w:val="en-US"/>
        </w:rPr>
        <w:t>March</w:t>
      </w:r>
      <w:r w:rsidR="00C13AA6" w:rsidRPr="00C13AA6">
        <w:rPr>
          <w:rFonts w:ascii="Verdana" w:eastAsia="Times New Roman" w:hAnsi="Verdana" w:cs="Times New Roman"/>
          <w:b/>
          <w:color w:val="002060"/>
          <w:sz w:val="32"/>
          <w:szCs w:val="32"/>
          <w:lang w:val="en-US"/>
        </w:rPr>
        <w:t xml:space="preserve"> 201</w:t>
      </w:r>
      <w:r>
        <w:rPr>
          <w:rFonts w:ascii="Verdana" w:eastAsia="Times New Roman" w:hAnsi="Verdana" w:cs="Times New Roman"/>
          <w:b/>
          <w:color w:val="002060"/>
          <w:sz w:val="32"/>
          <w:szCs w:val="32"/>
          <w:lang w:val="en-US"/>
        </w:rPr>
        <w:t>4</w:t>
      </w:r>
    </w:p>
    <w:p w:rsidR="00C13AA6" w:rsidRPr="001037E4" w:rsidRDefault="00C13AA6" w:rsidP="001037E4">
      <w:pPr>
        <w:pStyle w:val="Heading1"/>
      </w:pPr>
      <w:r w:rsidRPr="001037E4">
        <w:rPr>
          <w:rFonts w:eastAsia="Times New Roman"/>
          <w:color w:val="808000"/>
          <w:sz w:val="32"/>
          <w:szCs w:val="32"/>
          <w:lang w:eastAsia="ja-JP"/>
        </w:rPr>
        <w:br w:type="page"/>
      </w:r>
      <w:r w:rsidRPr="001037E4">
        <w:t xml:space="preserve">Introduction </w:t>
      </w:r>
    </w:p>
    <w:p w:rsidR="00C13AA6" w:rsidRPr="00C13AA6" w:rsidRDefault="00C13AA6" w:rsidP="001037E4">
      <w:pPr>
        <w:autoSpaceDE w:val="0"/>
        <w:autoSpaceDN w:val="0"/>
        <w:adjustRightInd w:val="0"/>
        <w:spacing w:after="240" w:line="240" w:lineRule="auto"/>
        <w:jc w:val="both"/>
        <w:rPr>
          <w:rFonts w:eastAsia="Times New Roman" w:cs="MyriadPro-Semibold"/>
          <w:lang w:val="en-US"/>
        </w:rPr>
      </w:pPr>
      <w:r w:rsidRPr="00C13AA6">
        <w:rPr>
          <w:rFonts w:eastAsia="Times New Roman" w:cs="Times New Roman"/>
          <w:lang w:eastAsia="ja-JP"/>
        </w:rPr>
        <w:t xml:space="preserve">The Australian Manufacturing Workers’ Union (AMWU) welcomes the opportunity to </w:t>
      </w:r>
      <w:r w:rsidR="005C54A6">
        <w:rPr>
          <w:rFonts w:eastAsia="Times New Roman" w:cs="Times New Roman"/>
          <w:lang w:eastAsia="ja-JP"/>
        </w:rPr>
        <w:t xml:space="preserve">provide this supplementary submission </w:t>
      </w:r>
      <w:r w:rsidRPr="00BE2B9F">
        <w:rPr>
          <w:rFonts w:eastAsia="Times New Roman" w:cs="Times New Roman"/>
          <w:lang w:eastAsia="ja-JP"/>
        </w:rPr>
        <w:t xml:space="preserve">to the </w:t>
      </w:r>
      <w:r w:rsidR="005C54A6" w:rsidRPr="005C54A6">
        <w:rPr>
          <w:rFonts w:eastAsia="Times New Roman" w:cs="Times New Roman"/>
          <w:lang w:eastAsia="ja-JP"/>
        </w:rPr>
        <w:t xml:space="preserve">Senate Education and </w:t>
      </w:r>
      <w:r w:rsidR="005C54A6">
        <w:rPr>
          <w:rFonts w:eastAsia="Times New Roman" w:cs="Times New Roman"/>
          <w:lang w:eastAsia="ja-JP"/>
        </w:rPr>
        <w:t xml:space="preserve">Employment References Committee </w:t>
      </w:r>
      <w:r w:rsidR="005C54A6" w:rsidRPr="005C54A6">
        <w:rPr>
          <w:rFonts w:eastAsia="Times New Roman" w:cs="Times New Roman"/>
          <w:lang w:eastAsia="ja-JP"/>
        </w:rPr>
        <w:t>Inquiry into Technical and further education in Australia</w:t>
      </w:r>
      <w:r w:rsidRPr="00C13AA6">
        <w:rPr>
          <w:rFonts w:eastAsia="Times New Roman" w:cs="MyriadPro-Bold"/>
          <w:bCs/>
          <w:i/>
          <w:lang w:val="en-US"/>
        </w:rPr>
        <w:t>.</w:t>
      </w:r>
    </w:p>
    <w:p w:rsidR="00C13AA6" w:rsidRPr="00C13AA6" w:rsidRDefault="00C13AA6" w:rsidP="001037E4">
      <w:pPr>
        <w:spacing w:after="240" w:line="240" w:lineRule="auto"/>
        <w:jc w:val="both"/>
        <w:rPr>
          <w:rFonts w:eastAsia="Times New Roman" w:cs="Times New Roman"/>
          <w:lang w:eastAsia="ja-JP"/>
        </w:rPr>
      </w:pPr>
      <w:r w:rsidRPr="00C13AA6">
        <w:rPr>
          <w:rFonts w:eastAsia="Times New Roman" w:cs="Times New Roman"/>
          <w:lang w:eastAsia="ja-JP"/>
        </w:rPr>
        <w:t>The AMWU represents the industrial interests of over 100,000 Australian manufacturing workers employed in a wide range of manufacturing, engineering and related industries including workers engaged in food processing, metal &amp; engineering, printing, vehicle and technical, supervisory and administrative occupations.</w:t>
      </w:r>
    </w:p>
    <w:p w:rsidR="00C13AA6" w:rsidRPr="00BE2B9F" w:rsidRDefault="00C13AA6" w:rsidP="001037E4">
      <w:pPr>
        <w:spacing w:after="240" w:line="240" w:lineRule="auto"/>
        <w:jc w:val="both"/>
        <w:rPr>
          <w:rFonts w:eastAsia="Times New Roman" w:cs="Times New Roman"/>
          <w:lang w:eastAsia="ja-JP"/>
        </w:rPr>
      </w:pPr>
      <w:r w:rsidRPr="00BE2B9F">
        <w:rPr>
          <w:rFonts w:eastAsia="Times New Roman" w:cs="Times New Roman"/>
          <w:lang w:eastAsia="ja-JP"/>
        </w:rPr>
        <w:t>Australia’s internationally regarded publicly owned TAFE system has been a significant contributor to the delivery of both social and economic opportunities for many of our member.</w:t>
      </w:r>
    </w:p>
    <w:p w:rsidR="00C13AA6" w:rsidRPr="00BE2B9F" w:rsidRDefault="00C13AA6" w:rsidP="001037E4">
      <w:pPr>
        <w:spacing w:after="240" w:line="240" w:lineRule="auto"/>
        <w:jc w:val="both"/>
        <w:rPr>
          <w:rFonts w:eastAsia="Times New Roman" w:cs="Times New Roman"/>
          <w:lang w:eastAsia="ja-JP"/>
        </w:rPr>
      </w:pPr>
      <w:r w:rsidRPr="00BE2B9F">
        <w:rPr>
          <w:rFonts w:eastAsia="Times New Roman" w:cs="Times New Roman"/>
          <w:lang w:eastAsia="ja-JP"/>
        </w:rPr>
        <w:t xml:space="preserve">The AMWU supports the </w:t>
      </w:r>
      <w:r w:rsidR="00BA6516" w:rsidRPr="00BE2B9F">
        <w:rPr>
          <w:rFonts w:eastAsia="Times New Roman" w:cs="Times New Roman"/>
          <w:lang w:eastAsia="ja-JP"/>
        </w:rPr>
        <w:t>TAFE system and the work that is being done to lift educational and vocational standards across Australia by TAFE workers.</w:t>
      </w:r>
    </w:p>
    <w:p w:rsidR="003C75EF" w:rsidRDefault="005C54A6" w:rsidP="001037E4">
      <w:pPr>
        <w:spacing w:after="240" w:line="240" w:lineRule="auto"/>
        <w:jc w:val="both"/>
        <w:rPr>
          <w:rFonts w:eastAsia="Times New Roman" w:cs="Times New Roman"/>
          <w:lang w:eastAsia="ja-JP"/>
        </w:rPr>
      </w:pPr>
      <w:r>
        <w:rPr>
          <w:rFonts w:eastAsia="Times New Roman" w:cs="Times New Roman"/>
          <w:lang w:eastAsia="ja-JP"/>
        </w:rPr>
        <w:t xml:space="preserve">We continue to rely on the written submissions made to the 2013 </w:t>
      </w:r>
      <w:r w:rsidRPr="005C54A6">
        <w:rPr>
          <w:rFonts w:eastAsia="Times New Roman" w:cs="Times New Roman"/>
          <w:lang w:eastAsia="ja-JP"/>
        </w:rPr>
        <w:t xml:space="preserve">House of Representatives Inquiry into the role and operation of TAFE that lapsed when the previous Parliament </w:t>
      </w:r>
      <w:r>
        <w:rPr>
          <w:rFonts w:eastAsia="Times New Roman" w:cs="Times New Roman"/>
          <w:lang w:eastAsia="ja-JP"/>
        </w:rPr>
        <w:t xml:space="preserve">was </w:t>
      </w:r>
      <w:r w:rsidRPr="005C54A6">
        <w:rPr>
          <w:rFonts w:eastAsia="Times New Roman" w:cs="Times New Roman"/>
          <w:lang w:eastAsia="ja-JP"/>
        </w:rPr>
        <w:t>dissolved</w:t>
      </w:r>
      <w:r>
        <w:rPr>
          <w:rFonts w:eastAsia="Times New Roman" w:cs="Times New Roman"/>
          <w:lang w:eastAsia="ja-JP"/>
        </w:rPr>
        <w:t>.</w:t>
      </w:r>
    </w:p>
    <w:p w:rsidR="001037E4" w:rsidRDefault="001037E4" w:rsidP="001037E4">
      <w:pPr>
        <w:spacing w:after="240" w:line="240" w:lineRule="auto"/>
        <w:jc w:val="both"/>
        <w:rPr>
          <w:rFonts w:eastAsia="Times New Roman" w:cs="Times New Roman"/>
          <w:lang w:eastAsia="ja-JP"/>
        </w:rPr>
      </w:pPr>
      <w:r>
        <w:rPr>
          <w:rFonts w:eastAsia="Times New Roman" w:cs="Times New Roman"/>
          <w:lang w:eastAsia="ja-JP"/>
        </w:rPr>
        <w:t>We support and adopt the submissions of the ACTU in their supplementary submission to this Inquiry.</w:t>
      </w:r>
    </w:p>
    <w:p w:rsidR="001037E4" w:rsidRDefault="001037E4" w:rsidP="001037E4">
      <w:pPr>
        <w:pStyle w:val="Heading1"/>
      </w:pPr>
      <w:r w:rsidRPr="001037E4">
        <w:t>Terms of Reference</w:t>
      </w:r>
    </w:p>
    <w:p w:rsidR="001037E4" w:rsidRPr="001037E4" w:rsidRDefault="001037E4" w:rsidP="001037E4">
      <w:r w:rsidRPr="001037E4">
        <w:t>Our brief supplementary submission is confined to the following terms of reference:</w:t>
      </w:r>
    </w:p>
    <w:p w:rsidR="001037E4" w:rsidRPr="001037E4" w:rsidRDefault="001037E4" w:rsidP="001037E4">
      <w:pPr>
        <w:pStyle w:val="NormalWeb"/>
        <w:spacing w:before="0" w:beforeAutospacing="0" w:after="240" w:afterAutospacing="0" w:line="252" w:lineRule="atLeast"/>
        <w:textAlignment w:val="baseline"/>
        <w:rPr>
          <w:rFonts w:asciiTheme="minorHAnsi" w:hAnsiTheme="minorHAnsi" w:cs="Lucida Sans Unicode"/>
          <w:color w:val="000000"/>
          <w:sz w:val="22"/>
          <w:szCs w:val="22"/>
        </w:rPr>
      </w:pPr>
      <w:r w:rsidRPr="001037E4">
        <w:rPr>
          <w:rFonts w:asciiTheme="minorHAnsi" w:hAnsiTheme="minorHAnsi" w:cs="Lucida Sans Unicode"/>
          <w:color w:val="000000"/>
          <w:sz w:val="22"/>
          <w:szCs w:val="22"/>
        </w:rPr>
        <w:t>Technical and further education (TAFE) in Australia, including:</w:t>
      </w:r>
    </w:p>
    <w:p w:rsidR="001037E4" w:rsidRPr="001037E4" w:rsidRDefault="001037E4" w:rsidP="001037E4">
      <w:pPr>
        <w:pStyle w:val="NormalWeb"/>
        <w:spacing w:before="0" w:beforeAutospacing="0" w:after="240" w:afterAutospacing="0" w:line="252" w:lineRule="atLeast"/>
        <w:ind w:left="709" w:hanging="709"/>
        <w:textAlignment w:val="baseline"/>
        <w:rPr>
          <w:rFonts w:asciiTheme="minorHAnsi" w:hAnsiTheme="minorHAnsi" w:cs="Lucida Sans Unicode"/>
          <w:color w:val="000000"/>
          <w:sz w:val="22"/>
          <w:szCs w:val="22"/>
        </w:rPr>
      </w:pPr>
      <w:r w:rsidRPr="001037E4">
        <w:rPr>
          <w:rFonts w:asciiTheme="minorHAnsi" w:hAnsiTheme="minorHAnsi" w:cs="Lucida Sans Unicode"/>
          <w:color w:val="000000"/>
          <w:sz w:val="22"/>
          <w:szCs w:val="22"/>
        </w:rPr>
        <w:t xml:space="preserve">(b) </w:t>
      </w:r>
      <w:r w:rsidRPr="001037E4">
        <w:rPr>
          <w:rFonts w:asciiTheme="minorHAnsi" w:hAnsiTheme="minorHAnsi" w:cs="Lucida Sans Unicode"/>
          <w:color w:val="000000"/>
          <w:sz w:val="22"/>
          <w:szCs w:val="22"/>
        </w:rPr>
        <w:tab/>
      </w:r>
      <w:proofErr w:type="gramStart"/>
      <w:r w:rsidRPr="001037E4">
        <w:rPr>
          <w:rFonts w:asciiTheme="minorHAnsi" w:hAnsiTheme="minorHAnsi" w:cs="Lucida Sans Unicode"/>
          <w:color w:val="000000"/>
          <w:sz w:val="22"/>
          <w:szCs w:val="22"/>
        </w:rPr>
        <w:t>the</w:t>
      </w:r>
      <w:proofErr w:type="gramEnd"/>
      <w:r w:rsidRPr="001037E4">
        <w:rPr>
          <w:rFonts w:asciiTheme="minorHAnsi" w:hAnsiTheme="minorHAnsi" w:cs="Lucida Sans Unicode"/>
          <w:color w:val="000000"/>
          <w:sz w:val="22"/>
          <w:szCs w:val="22"/>
        </w:rPr>
        <w:t xml:space="preserve"> effects of a competitive training market on TAFE;</w:t>
      </w:r>
    </w:p>
    <w:p w:rsidR="001037E4" w:rsidRPr="001037E4" w:rsidRDefault="001037E4" w:rsidP="001037E4">
      <w:pPr>
        <w:pStyle w:val="NormalWeb"/>
        <w:spacing w:before="0" w:beforeAutospacing="0" w:after="240" w:afterAutospacing="0" w:line="252" w:lineRule="atLeast"/>
        <w:ind w:left="709" w:hanging="709"/>
        <w:textAlignment w:val="baseline"/>
        <w:rPr>
          <w:rFonts w:asciiTheme="minorHAnsi" w:hAnsiTheme="minorHAnsi" w:cs="Lucida Sans Unicode"/>
          <w:color w:val="000000"/>
          <w:sz w:val="22"/>
          <w:szCs w:val="22"/>
        </w:rPr>
      </w:pPr>
      <w:r w:rsidRPr="001037E4">
        <w:rPr>
          <w:rFonts w:asciiTheme="minorHAnsi" w:hAnsiTheme="minorHAnsi" w:cs="Lucida Sans Unicode"/>
          <w:color w:val="000000"/>
          <w:sz w:val="22"/>
          <w:szCs w:val="22"/>
        </w:rPr>
        <w:t xml:space="preserve">(c) </w:t>
      </w:r>
      <w:r w:rsidRPr="001037E4">
        <w:rPr>
          <w:rFonts w:asciiTheme="minorHAnsi" w:hAnsiTheme="minorHAnsi" w:cs="Lucida Sans Unicode"/>
          <w:color w:val="000000"/>
          <w:sz w:val="22"/>
          <w:szCs w:val="22"/>
        </w:rPr>
        <w:tab/>
      </w:r>
      <w:proofErr w:type="gramStart"/>
      <w:r w:rsidRPr="001037E4">
        <w:rPr>
          <w:rFonts w:asciiTheme="minorHAnsi" w:hAnsiTheme="minorHAnsi" w:cs="Lucida Sans Unicode"/>
          <w:color w:val="000000"/>
          <w:sz w:val="22"/>
          <w:szCs w:val="22"/>
        </w:rPr>
        <w:t>what</w:t>
      </w:r>
      <w:proofErr w:type="gramEnd"/>
      <w:r w:rsidRPr="001037E4">
        <w:rPr>
          <w:rFonts w:asciiTheme="minorHAnsi" w:hAnsiTheme="minorHAnsi" w:cs="Lucida Sans Unicode"/>
          <w:color w:val="000000"/>
          <w:sz w:val="22"/>
          <w:szCs w:val="22"/>
        </w:rPr>
        <w:t xml:space="preserve"> public funding is adequate to ensure TAFEs remain in a strong and sustainable position to carry out their aims;</w:t>
      </w:r>
    </w:p>
    <w:p w:rsidR="001037E4" w:rsidRPr="001037E4" w:rsidRDefault="001037E4" w:rsidP="001037E4">
      <w:pPr>
        <w:pStyle w:val="NormalWeb"/>
        <w:spacing w:before="0" w:beforeAutospacing="0" w:after="240" w:afterAutospacing="0" w:line="252" w:lineRule="atLeast"/>
        <w:ind w:left="709" w:hanging="709"/>
        <w:textAlignment w:val="baseline"/>
        <w:rPr>
          <w:rFonts w:asciiTheme="minorHAnsi" w:hAnsiTheme="minorHAnsi" w:cs="Lucida Sans Unicode"/>
          <w:color w:val="000000"/>
          <w:sz w:val="22"/>
          <w:szCs w:val="22"/>
        </w:rPr>
      </w:pPr>
      <w:r w:rsidRPr="001037E4">
        <w:rPr>
          <w:rFonts w:asciiTheme="minorHAnsi" w:hAnsiTheme="minorHAnsi" w:cs="Lucida Sans Unicode"/>
          <w:color w:val="000000"/>
          <w:sz w:val="22"/>
          <w:szCs w:val="22"/>
        </w:rPr>
        <w:t xml:space="preserve">(d) </w:t>
      </w:r>
      <w:r w:rsidRPr="001037E4">
        <w:rPr>
          <w:rFonts w:asciiTheme="minorHAnsi" w:hAnsiTheme="minorHAnsi" w:cs="Lucida Sans Unicode"/>
          <w:color w:val="000000"/>
          <w:sz w:val="22"/>
          <w:szCs w:val="22"/>
        </w:rPr>
        <w:tab/>
      </w:r>
      <w:proofErr w:type="gramStart"/>
      <w:r w:rsidRPr="001037E4">
        <w:rPr>
          <w:rFonts w:asciiTheme="minorHAnsi" w:hAnsiTheme="minorHAnsi" w:cs="Lucida Sans Unicode"/>
          <w:color w:val="000000"/>
          <w:sz w:val="22"/>
          <w:szCs w:val="22"/>
        </w:rPr>
        <w:t>what</w:t>
      </w:r>
      <w:proofErr w:type="gramEnd"/>
      <w:r w:rsidRPr="001037E4">
        <w:rPr>
          <w:rFonts w:asciiTheme="minorHAnsi" w:hAnsiTheme="minorHAnsi" w:cs="Lucida Sans Unicode"/>
          <w:color w:val="000000"/>
          <w:sz w:val="22"/>
          <w:szCs w:val="22"/>
        </w:rPr>
        <w:t xml:space="preserve"> factors affect the affordability and accessibility of TAFE to students and business;</w:t>
      </w:r>
    </w:p>
    <w:p w:rsidR="001037E4" w:rsidRPr="001037E4" w:rsidRDefault="001037E4" w:rsidP="001037E4">
      <w:pPr>
        <w:pStyle w:val="NormalWeb"/>
        <w:spacing w:before="0" w:beforeAutospacing="0" w:after="240" w:afterAutospacing="0" w:line="252" w:lineRule="atLeast"/>
        <w:ind w:left="709" w:hanging="709"/>
        <w:textAlignment w:val="baseline"/>
        <w:rPr>
          <w:rFonts w:asciiTheme="minorHAnsi" w:hAnsiTheme="minorHAnsi" w:cs="Lucida Sans Unicode"/>
          <w:color w:val="000000"/>
          <w:sz w:val="22"/>
          <w:szCs w:val="22"/>
        </w:rPr>
      </w:pPr>
      <w:r w:rsidRPr="001037E4">
        <w:rPr>
          <w:rFonts w:asciiTheme="minorHAnsi" w:hAnsiTheme="minorHAnsi" w:cs="Lucida Sans Unicode"/>
          <w:color w:val="000000"/>
          <w:sz w:val="22"/>
          <w:szCs w:val="22"/>
        </w:rPr>
        <w:t xml:space="preserve">(e) </w:t>
      </w:r>
      <w:r w:rsidRPr="001037E4">
        <w:rPr>
          <w:rFonts w:asciiTheme="minorHAnsi" w:hAnsiTheme="minorHAnsi" w:cs="Lucida Sans Unicode"/>
          <w:color w:val="000000"/>
          <w:sz w:val="22"/>
          <w:szCs w:val="22"/>
        </w:rPr>
        <w:tab/>
      </w:r>
      <w:proofErr w:type="gramStart"/>
      <w:r w:rsidRPr="001037E4">
        <w:rPr>
          <w:rFonts w:asciiTheme="minorHAnsi" w:hAnsiTheme="minorHAnsi" w:cs="Lucida Sans Unicode"/>
          <w:color w:val="000000"/>
          <w:sz w:val="22"/>
          <w:szCs w:val="22"/>
        </w:rPr>
        <w:t>different</w:t>
      </w:r>
      <w:proofErr w:type="gramEnd"/>
      <w:r w:rsidRPr="001037E4">
        <w:rPr>
          <w:rFonts w:asciiTheme="minorHAnsi" w:hAnsiTheme="minorHAnsi" w:cs="Lucida Sans Unicode"/>
          <w:color w:val="000000"/>
          <w:sz w:val="22"/>
          <w:szCs w:val="22"/>
        </w:rPr>
        <w:t xml:space="preserve"> mechanisms used by state governments to allocate funding; and</w:t>
      </w:r>
    </w:p>
    <w:p w:rsidR="001037E4" w:rsidRPr="001037E4" w:rsidRDefault="001037E4" w:rsidP="001037E4">
      <w:pPr>
        <w:pStyle w:val="NormalWeb"/>
        <w:spacing w:before="0" w:beforeAutospacing="0" w:after="240" w:afterAutospacing="0" w:line="252" w:lineRule="atLeast"/>
        <w:ind w:left="709" w:hanging="709"/>
        <w:textAlignment w:val="baseline"/>
        <w:rPr>
          <w:rFonts w:asciiTheme="minorHAnsi" w:hAnsiTheme="minorHAnsi" w:cs="Lucida Sans Unicode"/>
          <w:color w:val="000000"/>
          <w:sz w:val="22"/>
          <w:szCs w:val="22"/>
        </w:rPr>
      </w:pPr>
      <w:r w:rsidRPr="001037E4">
        <w:rPr>
          <w:rFonts w:asciiTheme="minorHAnsi" w:hAnsiTheme="minorHAnsi" w:cs="Lucida Sans Unicode"/>
          <w:color w:val="000000"/>
          <w:sz w:val="22"/>
          <w:szCs w:val="22"/>
        </w:rPr>
        <w:t xml:space="preserve">(f) </w:t>
      </w:r>
      <w:r w:rsidRPr="001037E4">
        <w:rPr>
          <w:rFonts w:asciiTheme="minorHAnsi" w:hAnsiTheme="minorHAnsi" w:cs="Lucida Sans Unicode"/>
          <w:color w:val="000000"/>
          <w:sz w:val="22"/>
          <w:szCs w:val="22"/>
        </w:rPr>
        <w:tab/>
      </w:r>
      <w:proofErr w:type="gramStart"/>
      <w:r w:rsidRPr="001037E4">
        <w:rPr>
          <w:rFonts w:asciiTheme="minorHAnsi" w:hAnsiTheme="minorHAnsi" w:cs="Lucida Sans Unicode"/>
          <w:color w:val="000000"/>
          <w:sz w:val="22"/>
          <w:szCs w:val="22"/>
        </w:rPr>
        <w:t>the</w:t>
      </w:r>
      <w:proofErr w:type="gramEnd"/>
      <w:r w:rsidRPr="001037E4">
        <w:rPr>
          <w:rFonts w:asciiTheme="minorHAnsi" w:hAnsiTheme="minorHAnsi" w:cs="Lucida Sans Unicode"/>
          <w:color w:val="000000"/>
          <w:sz w:val="22"/>
          <w:szCs w:val="22"/>
        </w:rPr>
        <w:t xml:space="preserve"> application and effect of additional charges to TAFE students.</w:t>
      </w:r>
    </w:p>
    <w:p w:rsidR="001037E4" w:rsidRPr="00C13AA6" w:rsidRDefault="001037E4" w:rsidP="000C742D">
      <w:pPr>
        <w:spacing w:after="240" w:line="240" w:lineRule="auto"/>
        <w:ind w:left="567"/>
        <w:jc w:val="both"/>
        <w:rPr>
          <w:rFonts w:eastAsia="Times New Roman" w:cs="Times New Roman"/>
          <w:lang w:eastAsia="ja-JP"/>
        </w:rPr>
      </w:pPr>
    </w:p>
    <w:p w:rsidR="00C13AA6" w:rsidRPr="00C13AA6" w:rsidRDefault="00C13AA6" w:rsidP="000C742D">
      <w:pPr>
        <w:autoSpaceDE w:val="0"/>
        <w:autoSpaceDN w:val="0"/>
        <w:adjustRightInd w:val="0"/>
        <w:spacing w:before="360" w:after="360" w:line="240" w:lineRule="auto"/>
        <w:ind w:left="567" w:hanging="567"/>
        <w:jc w:val="both"/>
        <w:rPr>
          <w:rFonts w:ascii="Verdana" w:eastAsia="Times New Roman" w:hAnsi="Verdana" w:cs="Times New Roman"/>
          <w:b/>
          <w:color w:val="002060"/>
          <w:sz w:val="24"/>
          <w:szCs w:val="24"/>
          <w:lang w:eastAsia="ja-JP"/>
        </w:rPr>
      </w:pPr>
      <w:r w:rsidRPr="00C13AA6">
        <w:rPr>
          <w:rFonts w:ascii="Verdana" w:eastAsia="Times New Roman" w:hAnsi="Verdana" w:cs="Times New Roman"/>
          <w:b/>
          <w:color w:val="002060"/>
          <w:sz w:val="24"/>
          <w:szCs w:val="24"/>
          <w:lang w:eastAsia="ja-JP"/>
        </w:rPr>
        <w:t>Context for this Submission</w:t>
      </w:r>
    </w:p>
    <w:p w:rsidR="00BA6516" w:rsidRPr="00BE2B9F" w:rsidRDefault="003C75EF" w:rsidP="0071768B">
      <w:pPr>
        <w:shd w:val="clear" w:color="auto" w:fill="FFFFFF"/>
        <w:spacing w:after="240" w:line="240" w:lineRule="auto"/>
        <w:jc w:val="both"/>
        <w:rPr>
          <w:rFonts w:eastAsia="Times New Roman" w:cs="Times New Roman"/>
          <w:lang w:val="en-US"/>
        </w:rPr>
      </w:pPr>
      <w:r w:rsidRPr="00BE2B9F">
        <w:rPr>
          <w:rFonts w:eastAsia="Times New Roman" w:cs="Times New Roman"/>
          <w:lang w:val="en-US"/>
        </w:rPr>
        <w:t xml:space="preserve">In many of </w:t>
      </w:r>
      <w:r w:rsidR="00BE2B9F" w:rsidRPr="00BE2B9F">
        <w:rPr>
          <w:rFonts w:eastAsia="Times New Roman" w:cs="Times New Roman"/>
          <w:lang w:val="en-US"/>
        </w:rPr>
        <w:t>our</w:t>
      </w:r>
      <w:r w:rsidRPr="00BE2B9F">
        <w:rPr>
          <w:rFonts w:eastAsia="Times New Roman" w:cs="Times New Roman"/>
          <w:lang w:val="en-US"/>
        </w:rPr>
        <w:t xml:space="preserve"> submissions to previous i</w:t>
      </w:r>
      <w:r w:rsidR="00BA6516" w:rsidRPr="00BE2B9F">
        <w:rPr>
          <w:rFonts w:eastAsia="Times New Roman" w:cs="Times New Roman"/>
          <w:lang w:val="en-US"/>
        </w:rPr>
        <w:t>nquiries</w:t>
      </w:r>
      <w:r w:rsidRPr="00BE2B9F">
        <w:rPr>
          <w:rFonts w:eastAsia="Times New Roman" w:cs="Times New Roman"/>
          <w:lang w:val="en-US"/>
        </w:rPr>
        <w:t>,</w:t>
      </w:r>
      <w:r w:rsidR="00697D0E">
        <w:rPr>
          <w:rFonts w:eastAsia="Times New Roman" w:cs="Times New Roman"/>
          <w:lang w:val="en-US"/>
        </w:rPr>
        <w:t xml:space="preserve"> and in the submission we made to the 2013 Inquiry</w:t>
      </w:r>
      <w:r w:rsidR="00BA6516" w:rsidRPr="00BE2B9F">
        <w:rPr>
          <w:rFonts w:eastAsia="Times New Roman" w:cs="Times New Roman"/>
          <w:lang w:val="en-US"/>
        </w:rPr>
        <w:t xml:space="preserve"> the AMWU made observations </w:t>
      </w:r>
      <w:r w:rsidRPr="00BE2B9F">
        <w:rPr>
          <w:rFonts w:eastAsia="Times New Roman" w:cs="Times New Roman"/>
          <w:lang w:val="en-US"/>
        </w:rPr>
        <w:t xml:space="preserve">about </w:t>
      </w:r>
      <w:r w:rsidR="00697D0E">
        <w:rPr>
          <w:rFonts w:eastAsia="Times New Roman" w:cs="Times New Roman"/>
          <w:lang w:val="en-US"/>
        </w:rPr>
        <w:t xml:space="preserve">serious </w:t>
      </w:r>
      <w:r w:rsidRPr="00BE2B9F">
        <w:rPr>
          <w:rFonts w:eastAsia="Times New Roman" w:cs="Times New Roman"/>
          <w:lang w:val="en-US"/>
        </w:rPr>
        <w:t xml:space="preserve">weaknesses in </w:t>
      </w:r>
      <w:r w:rsidR="00BA6516" w:rsidRPr="00BE2B9F">
        <w:rPr>
          <w:rFonts w:eastAsia="Times New Roman" w:cs="Times New Roman"/>
          <w:lang w:val="en-US"/>
        </w:rPr>
        <w:t xml:space="preserve">the VET and apprenticeships systems in Australia </w:t>
      </w:r>
      <w:r w:rsidRPr="00BE2B9F">
        <w:rPr>
          <w:rFonts w:eastAsia="Times New Roman" w:cs="Times New Roman"/>
          <w:lang w:val="en-US"/>
        </w:rPr>
        <w:t>including:</w:t>
      </w:r>
    </w:p>
    <w:p w:rsidR="00BA6516" w:rsidRPr="00BE2B9F" w:rsidRDefault="00BA6516" w:rsidP="0071768B">
      <w:pPr>
        <w:shd w:val="clear" w:color="auto" w:fill="FFFFFF"/>
        <w:spacing w:after="240" w:line="240" w:lineRule="auto"/>
        <w:ind w:left="567" w:hanging="567"/>
        <w:jc w:val="both"/>
        <w:rPr>
          <w:rFonts w:eastAsia="Times New Roman" w:cs="Times New Roman"/>
          <w:lang w:val="en-US"/>
        </w:rPr>
      </w:pPr>
      <w:r w:rsidRPr="00BE2B9F">
        <w:rPr>
          <w:rFonts w:eastAsia="Times New Roman" w:cs="Times New Roman"/>
          <w:lang w:val="en-US"/>
        </w:rPr>
        <w:t>•</w:t>
      </w:r>
      <w:r w:rsidRPr="00BE2B9F">
        <w:rPr>
          <w:rFonts w:eastAsia="Times New Roman" w:cs="Times New Roman"/>
          <w:lang w:val="en-US"/>
        </w:rPr>
        <w:tab/>
        <w:t>Declining quality of training delivery and outcomes compounded by the absence of effective compliance monitoring to ensure industry standards are being met;</w:t>
      </w:r>
    </w:p>
    <w:p w:rsidR="00BA6516" w:rsidRPr="00BE2B9F" w:rsidRDefault="00BA6516" w:rsidP="0071768B">
      <w:pPr>
        <w:shd w:val="clear" w:color="auto" w:fill="FFFFFF"/>
        <w:spacing w:after="240" w:line="240" w:lineRule="auto"/>
        <w:ind w:left="567" w:hanging="567"/>
        <w:jc w:val="both"/>
        <w:rPr>
          <w:rFonts w:eastAsia="Times New Roman" w:cs="Times New Roman"/>
          <w:lang w:val="en-US"/>
        </w:rPr>
      </w:pPr>
      <w:r w:rsidRPr="00BE2B9F">
        <w:rPr>
          <w:rFonts w:eastAsia="Times New Roman" w:cs="Times New Roman"/>
          <w:lang w:val="en-US"/>
        </w:rPr>
        <w:t>•</w:t>
      </w:r>
      <w:r w:rsidRPr="00BE2B9F">
        <w:rPr>
          <w:rFonts w:eastAsia="Times New Roman" w:cs="Times New Roman"/>
          <w:lang w:val="en-US"/>
        </w:rPr>
        <w:tab/>
        <w:t>Pressure to leave training to the ‘market’ which is resulting in a race to the bottom on quality and incentive</w:t>
      </w:r>
      <w:r w:rsidR="003C75EF" w:rsidRPr="00BE2B9F">
        <w:rPr>
          <w:rFonts w:eastAsia="Times New Roman" w:cs="Times New Roman"/>
          <w:lang w:val="en-US"/>
        </w:rPr>
        <w:t>s</w:t>
      </w:r>
      <w:r w:rsidRPr="00BE2B9F">
        <w:rPr>
          <w:rFonts w:eastAsia="Times New Roman" w:cs="Times New Roman"/>
          <w:lang w:val="en-US"/>
        </w:rPr>
        <w:t xml:space="preserve"> to </w:t>
      </w:r>
      <w:proofErr w:type="spellStart"/>
      <w:r w:rsidRPr="00BE2B9F">
        <w:rPr>
          <w:rFonts w:eastAsia="Times New Roman" w:cs="Times New Roman"/>
          <w:lang w:val="en-US"/>
        </w:rPr>
        <w:t>rort</w:t>
      </w:r>
      <w:proofErr w:type="spellEnd"/>
      <w:r w:rsidRPr="00BE2B9F">
        <w:rPr>
          <w:rFonts w:eastAsia="Times New Roman" w:cs="Times New Roman"/>
          <w:lang w:val="en-US"/>
        </w:rPr>
        <w:t xml:space="preserve"> the system.</w:t>
      </w:r>
    </w:p>
    <w:p w:rsidR="00BA6516" w:rsidRPr="00BE2B9F" w:rsidRDefault="00BA6516" w:rsidP="0071768B">
      <w:pPr>
        <w:shd w:val="clear" w:color="auto" w:fill="FFFFFF"/>
        <w:spacing w:after="240" w:line="240" w:lineRule="auto"/>
        <w:ind w:left="567" w:hanging="567"/>
        <w:jc w:val="both"/>
        <w:rPr>
          <w:rFonts w:eastAsia="Times New Roman" w:cs="Times New Roman"/>
          <w:lang w:val="en-US"/>
        </w:rPr>
      </w:pPr>
      <w:r w:rsidRPr="00BE2B9F">
        <w:rPr>
          <w:rFonts w:eastAsia="Times New Roman" w:cs="Times New Roman"/>
          <w:lang w:val="en-US"/>
        </w:rPr>
        <w:t>•</w:t>
      </w:r>
      <w:r w:rsidRPr="00BE2B9F">
        <w:rPr>
          <w:rFonts w:eastAsia="Times New Roman" w:cs="Times New Roman"/>
          <w:lang w:val="en-US"/>
        </w:rPr>
        <w:tab/>
        <w:t>Declining apprenticeship completions due to poor pay and conditions and low quality training and employment experiences for apprentices;</w:t>
      </w:r>
    </w:p>
    <w:p w:rsidR="00BA6516" w:rsidRPr="00BE2B9F" w:rsidRDefault="00BA6516" w:rsidP="0071768B">
      <w:pPr>
        <w:shd w:val="clear" w:color="auto" w:fill="FFFFFF"/>
        <w:spacing w:after="240" w:line="240" w:lineRule="auto"/>
        <w:ind w:left="567" w:hanging="567"/>
        <w:jc w:val="both"/>
        <w:rPr>
          <w:rFonts w:eastAsia="Times New Roman" w:cs="Times New Roman"/>
          <w:lang w:val="en-US"/>
        </w:rPr>
      </w:pPr>
      <w:r w:rsidRPr="00BE2B9F">
        <w:rPr>
          <w:rFonts w:eastAsia="Times New Roman" w:cs="Times New Roman"/>
          <w:lang w:val="en-US"/>
        </w:rPr>
        <w:t>•</w:t>
      </w:r>
      <w:r w:rsidRPr="00BE2B9F">
        <w:rPr>
          <w:rFonts w:eastAsia="Times New Roman" w:cs="Times New Roman"/>
          <w:lang w:val="en-US"/>
        </w:rPr>
        <w:tab/>
        <w:t>Pressure for fully institutional delivery of key trade, technical and production qualifications;</w:t>
      </w:r>
    </w:p>
    <w:p w:rsidR="00BA6516" w:rsidRDefault="00BA6516" w:rsidP="0071768B">
      <w:pPr>
        <w:shd w:val="clear" w:color="auto" w:fill="FFFFFF"/>
        <w:spacing w:after="240" w:line="240" w:lineRule="auto"/>
        <w:ind w:left="567" w:hanging="567"/>
        <w:jc w:val="both"/>
        <w:rPr>
          <w:rFonts w:eastAsia="Times New Roman" w:cs="Times New Roman"/>
          <w:lang w:val="en-US"/>
        </w:rPr>
      </w:pPr>
      <w:r w:rsidRPr="00BE2B9F">
        <w:rPr>
          <w:rFonts w:eastAsia="Times New Roman" w:cs="Times New Roman"/>
          <w:lang w:val="en-US"/>
        </w:rPr>
        <w:t>•</w:t>
      </w:r>
      <w:r w:rsidRPr="00BE2B9F">
        <w:rPr>
          <w:rFonts w:eastAsia="Times New Roman" w:cs="Times New Roman"/>
          <w:lang w:val="en-US"/>
        </w:rPr>
        <w:tab/>
        <w:t>A disconnect between training</w:t>
      </w:r>
      <w:r w:rsidR="003C75EF" w:rsidRPr="00BE2B9F">
        <w:rPr>
          <w:rFonts w:eastAsia="Times New Roman" w:cs="Times New Roman"/>
          <w:lang w:val="en-US"/>
        </w:rPr>
        <w:t xml:space="preserve"> delivery</w:t>
      </w:r>
      <w:r w:rsidRPr="00BE2B9F">
        <w:rPr>
          <w:rFonts w:eastAsia="Times New Roman" w:cs="Times New Roman"/>
          <w:lang w:val="en-US"/>
        </w:rPr>
        <w:t xml:space="preserve"> and the requirements</w:t>
      </w:r>
      <w:r w:rsidR="003C75EF" w:rsidRPr="00BE2B9F">
        <w:rPr>
          <w:rFonts w:eastAsia="Times New Roman" w:cs="Times New Roman"/>
          <w:lang w:val="en-US"/>
        </w:rPr>
        <w:t xml:space="preserve"> of the workplace as specified in competency based qualification specifications developed by Industry Skills Councils</w:t>
      </w:r>
      <w:r w:rsidRPr="00BE2B9F">
        <w:rPr>
          <w:rFonts w:eastAsia="Times New Roman" w:cs="Times New Roman"/>
          <w:lang w:val="en-US"/>
        </w:rPr>
        <w:t xml:space="preserve">, </w:t>
      </w:r>
      <w:proofErr w:type="spellStart"/>
      <w:r w:rsidRPr="00BE2B9F">
        <w:rPr>
          <w:rFonts w:eastAsia="Times New Roman" w:cs="Times New Roman"/>
          <w:lang w:val="en-US"/>
        </w:rPr>
        <w:t>ie</w:t>
      </w:r>
      <w:proofErr w:type="spellEnd"/>
      <w:r w:rsidRPr="00BE2B9F">
        <w:rPr>
          <w:rFonts w:eastAsia="Times New Roman" w:cs="Times New Roman"/>
          <w:lang w:val="en-US"/>
        </w:rPr>
        <w:t xml:space="preserve"> the tr</w:t>
      </w:r>
      <w:r w:rsidR="00697D0E">
        <w:rPr>
          <w:rFonts w:eastAsia="Times New Roman" w:cs="Times New Roman"/>
          <w:lang w:val="en-US"/>
        </w:rPr>
        <w:t>aining is not really vocational.</w:t>
      </w:r>
    </w:p>
    <w:p w:rsidR="00697D0E" w:rsidRDefault="00697D0E" w:rsidP="0071768B">
      <w:pPr>
        <w:shd w:val="clear" w:color="auto" w:fill="FFFFFF"/>
        <w:spacing w:after="240" w:line="240" w:lineRule="auto"/>
        <w:jc w:val="both"/>
        <w:rPr>
          <w:rFonts w:eastAsia="Times New Roman" w:cs="Times New Roman"/>
          <w:lang w:val="en-US"/>
        </w:rPr>
      </w:pPr>
      <w:r>
        <w:rPr>
          <w:rFonts w:eastAsia="Times New Roman" w:cs="Times New Roman"/>
          <w:lang w:val="en-US"/>
        </w:rPr>
        <w:t>The submissions made by the ACTU outlining developments since the 2013 Inquiry raise concerns that are shared by the AMWU in relation to:</w:t>
      </w:r>
    </w:p>
    <w:p w:rsidR="00697D0E" w:rsidRPr="0071768B" w:rsidRDefault="00697D0E" w:rsidP="0071768B">
      <w:pPr>
        <w:pStyle w:val="ListParagraph"/>
        <w:numPr>
          <w:ilvl w:val="0"/>
          <w:numId w:val="8"/>
        </w:numPr>
        <w:ind w:left="567" w:hanging="567"/>
        <w:rPr>
          <w:rFonts w:eastAsia="Calibri" w:cs="Arial"/>
        </w:rPr>
      </w:pPr>
      <w:r w:rsidRPr="0071768B">
        <w:rPr>
          <w:rFonts w:eastAsia="Calibri" w:cs="Arial"/>
        </w:rPr>
        <w:t xml:space="preserve">Economic and labour market developments </w:t>
      </w:r>
    </w:p>
    <w:p w:rsidR="00697D0E" w:rsidRPr="0071768B" w:rsidRDefault="00697D0E" w:rsidP="0071768B">
      <w:pPr>
        <w:pStyle w:val="ListParagraph"/>
        <w:numPr>
          <w:ilvl w:val="0"/>
          <w:numId w:val="8"/>
        </w:numPr>
        <w:ind w:left="567" w:hanging="567"/>
        <w:rPr>
          <w:rFonts w:eastAsia="Calibri" w:cs="Arial"/>
        </w:rPr>
      </w:pPr>
      <w:r w:rsidRPr="0071768B">
        <w:rPr>
          <w:rFonts w:eastAsia="Calibri" w:cs="Arial"/>
        </w:rPr>
        <w:t>ASQA reports on RTO practices</w:t>
      </w:r>
    </w:p>
    <w:p w:rsidR="00697D0E" w:rsidRPr="0071768B" w:rsidRDefault="00697D0E" w:rsidP="0071768B">
      <w:pPr>
        <w:pStyle w:val="ListParagraph"/>
        <w:numPr>
          <w:ilvl w:val="0"/>
          <w:numId w:val="8"/>
        </w:numPr>
        <w:ind w:left="567" w:hanging="567"/>
        <w:rPr>
          <w:rFonts w:eastAsia="Calibri" w:cs="Arial"/>
        </w:rPr>
      </w:pPr>
      <w:r w:rsidRPr="0071768B">
        <w:rPr>
          <w:rFonts w:eastAsia="Calibri" w:cs="Arial"/>
        </w:rPr>
        <w:t xml:space="preserve">Productivity Commission report into VET funding and delivery </w:t>
      </w:r>
    </w:p>
    <w:p w:rsidR="00697D0E" w:rsidRPr="0071768B" w:rsidRDefault="00697D0E" w:rsidP="0071768B">
      <w:pPr>
        <w:pStyle w:val="ListParagraph"/>
        <w:numPr>
          <w:ilvl w:val="0"/>
          <w:numId w:val="8"/>
        </w:numPr>
        <w:ind w:left="567" w:hanging="567"/>
        <w:rPr>
          <w:rFonts w:eastAsia="Calibri" w:cs="Arial"/>
        </w:rPr>
      </w:pPr>
      <w:r w:rsidRPr="0071768B">
        <w:rPr>
          <w:rFonts w:eastAsia="Calibri" w:cs="Arial"/>
        </w:rPr>
        <w:t xml:space="preserve">TAFE policies of the major parties </w:t>
      </w:r>
    </w:p>
    <w:p w:rsidR="00697D0E" w:rsidRPr="0071768B" w:rsidRDefault="0071768B" w:rsidP="0071768B">
      <w:pPr>
        <w:pStyle w:val="ListParagraph"/>
        <w:numPr>
          <w:ilvl w:val="0"/>
          <w:numId w:val="8"/>
        </w:numPr>
        <w:ind w:left="567" w:hanging="567"/>
        <w:rPr>
          <w:rFonts w:eastAsia="Calibri" w:cs="Arial"/>
        </w:rPr>
      </w:pPr>
      <w:r>
        <w:rPr>
          <w:rFonts w:eastAsia="Calibri" w:cs="Arial"/>
        </w:rPr>
        <w:t>Impact on TAFE</w:t>
      </w:r>
    </w:p>
    <w:p w:rsidR="00697D0E" w:rsidRDefault="00697D0E" w:rsidP="0071768B">
      <w:pPr>
        <w:shd w:val="clear" w:color="auto" w:fill="FFFFFF"/>
        <w:spacing w:after="240" w:line="240" w:lineRule="auto"/>
        <w:jc w:val="both"/>
        <w:rPr>
          <w:rFonts w:eastAsia="Times New Roman" w:cs="Times New Roman"/>
          <w:lang w:val="en-US"/>
        </w:rPr>
      </w:pPr>
      <w:r>
        <w:rPr>
          <w:rFonts w:eastAsia="Times New Roman" w:cs="Times New Roman"/>
          <w:lang w:val="en-US"/>
        </w:rPr>
        <w:t>Since the 2013 Inquiry Australia has been rocked by a number of additional announcements by major companies in the manufacturing and airline industries that would either cease their operations in Australia of downsize their workforces to the tune of many thousands of workers.</w:t>
      </w:r>
    </w:p>
    <w:p w:rsidR="0071768B" w:rsidRDefault="00697D0E" w:rsidP="0071768B">
      <w:pPr>
        <w:shd w:val="clear" w:color="auto" w:fill="FFFFFF"/>
        <w:spacing w:after="240" w:line="240" w:lineRule="auto"/>
        <w:jc w:val="both"/>
        <w:rPr>
          <w:rFonts w:eastAsia="Times New Roman" w:cs="Times New Roman"/>
          <w:lang w:val="en-US"/>
        </w:rPr>
      </w:pPr>
      <w:r>
        <w:rPr>
          <w:rFonts w:eastAsia="Times New Roman" w:cs="Times New Roman"/>
          <w:lang w:val="en-US"/>
        </w:rPr>
        <w:t xml:space="preserve">Skills </w:t>
      </w:r>
      <w:r w:rsidR="0071768B">
        <w:rPr>
          <w:rFonts w:eastAsia="Times New Roman" w:cs="Times New Roman"/>
          <w:lang w:val="en-US"/>
        </w:rPr>
        <w:t>must</w:t>
      </w:r>
      <w:r>
        <w:rPr>
          <w:rFonts w:eastAsia="Times New Roman" w:cs="Times New Roman"/>
          <w:lang w:val="en-US"/>
        </w:rPr>
        <w:t xml:space="preserve"> be central to the response to the job losses that have been announced. </w:t>
      </w:r>
    </w:p>
    <w:p w:rsidR="00697D0E" w:rsidRDefault="00697D0E" w:rsidP="0071768B">
      <w:pPr>
        <w:shd w:val="clear" w:color="auto" w:fill="FFFFFF"/>
        <w:spacing w:after="240" w:line="240" w:lineRule="auto"/>
        <w:jc w:val="both"/>
        <w:rPr>
          <w:rFonts w:eastAsia="Times New Roman" w:cs="Times New Roman"/>
          <w:lang w:val="en-US"/>
        </w:rPr>
      </w:pPr>
      <w:r>
        <w:rPr>
          <w:rFonts w:eastAsia="Times New Roman" w:cs="Times New Roman"/>
          <w:lang w:val="en-US"/>
        </w:rPr>
        <w:t>It is clear from previous labour and structural adjustment exercises’ involving Mitsubishi, Tenneco and Bridgestone</w:t>
      </w:r>
      <w:r w:rsidR="0071768B">
        <w:rPr>
          <w:rFonts w:eastAsia="Times New Roman" w:cs="Times New Roman"/>
          <w:lang w:val="en-US"/>
        </w:rPr>
        <w:t>,</w:t>
      </w:r>
      <w:r>
        <w:rPr>
          <w:rFonts w:eastAsia="Times New Roman" w:cs="Times New Roman"/>
          <w:lang w:val="en-US"/>
        </w:rPr>
        <w:t xml:space="preserve"> to name a few, that </w:t>
      </w:r>
      <w:r w:rsidR="0071768B">
        <w:rPr>
          <w:rFonts w:eastAsia="Times New Roman" w:cs="Times New Roman"/>
          <w:lang w:val="en-US"/>
        </w:rPr>
        <w:t>skills analysis, workforce planning and development strategies based on proper approaches to skills recognition and development produce by far the most successful results.</w:t>
      </w:r>
    </w:p>
    <w:p w:rsidR="00697D0E" w:rsidRDefault="00697D0E" w:rsidP="0071768B">
      <w:pPr>
        <w:shd w:val="clear" w:color="auto" w:fill="FFFFFF"/>
        <w:spacing w:after="240" w:line="240" w:lineRule="auto"/>
        <w:jc w:val="both"/>
        <w:rPr>
          <w:rFonts w:eastAsia="Times New Roman" w:cs="Times New Roman"/>
          <w:lang w:val="en-US"/>
        </w:rPr>
      </w:pPr>
      <w:r>
        <w:rPr>
          <w:rFonts w:eastAsia="Times New Roman" w:cs="Times New Roman"/>
          <w:lang w:val="en-US"/>
        </w:rPr>
        <w:t>Skills have been, and will remain central to the future of the Australian economy, and TAFE is an institution that is</w:t>
      </w:r>
      <w:r w:rsidR="0071768B">
        <w:rPr>
          <w:rFonts w:eastAsia="Times New Roman" w:cs="Times New Roman"/>
          <w:lang w:val="en-US"/>
        </w:rPr>
        <w:t>,</w:t>
      </w:r>
      <w:r>
        <w:rPr>
          <w:rFonts w:eastAsia="Times New Roman" w:cs="Times New Roman"/>
          <w:lang w:val="en-US"/>
        </w:rPr>
        <w:t xml:space="preserve"> and must remain</w:t>
      </w:r>
      <w:r w:rsidR="0071768B">
        <w:rPr>
          <w:rFonts w:eastAsia="Times New Roman" w:cs="Times New Roman"/>
          <w:lang w:val="en-US"/>
        </w:rPr>
        <w:t>,</w:t>
      </w:r>
      <w:r>
        <w:rPr>
          <w:rFonts w:eastAsia="Times New Roman" w:cs="Times New Roman"/>
          <w:lang w:val="en-US"/>
        </w:rPr>
        <w:t xml:space="preserve"> central to the delivery of skills to the economy.</w:t>
      </w:r>
    </w:p>
    <w:p w:rsidR="00FD7082" w:rsidRDefault="00FD7082" w:rsidP="0071768B">
      <w:pPr>
        <w:shd w:val="clear" w:color="auto" w:fill="FFFFFF"/>
        <w:spacing w:after="240" w:line="240" w:lineRule="auto"/>
        <w:jc w:val="both"/>
        <w:rPr>
          <w:rFonts w:eastAsia="Times New Roman" w:cs="Times New Roman"/>
          <w:lang w:val="en-US"/>
        </w:rPr>
      </w:pPr>
      <w:r>
        <w:rPr>
          <w:rFonts w:eastAsia="Times New Roman" w:cs="Times New Roman"/>
          <w:lang w:val="en-US"/>
        </w:rPr>
        <w:t xml:space="preserve">The reliance on the market to deliver the skills that the economy and the society it serves </w:t>
      </w:r>
      <w:proofErr w:type="gramStart"/>
      <w:r>
        <w:rPr>
          <w:rFonts w:eastAsia="Times New Roman" w:cs="Times New Roman"/>
          <w:lang w:val="en-US"/>
        </w:rPr>
        <w:t>require,</w:t>
      </w:r>
      <w:proofErr w:type="gramEnd"/>
      <w:r>
        <w:rPr>
          <w:rFonts w:eastAsia="Times New Roman" w:cs="Times New Roman"/>
          <w:lang w:val="en-US"/>
        </w:rPr>
        <w:t xml:space="preserve"> is misplaced.</w:t>
      </w:r>
    </w:p>
    <w:p w:rsidR="00FD7082" w:rsidRDefault="00FD7082" w:rsidP="0071768B">
      <w:pPr>
        <w:shd w:val="clear" w:color="auto" w:fill="FFFFFF"/>
        <w:spacing w:after="240" w:line="240" w:lineRule="auto"/>
        <w:jc w:val="both"/>
        <w:rPr>
          <w:rFonts w:eastAsia="Times New Roman" w:cs="Times New Roman"/>
          <w:lang w:val="en-US"/>
        </w:rPr>
      </w:pPr>
      <w:r>
        <w:rPr>
          <w:rFonts w:eastAsia="Times New Roman" w:cs="Times New Roman"/>
          <w:lang w:val="en-US"/>
        </w:rPr>
        <w:t>Responses to the challenges confronting the economy, particularly the potentially devastating loss of capability being experienced through the announced closure of key manufacturers including Ford, Holden and Toyota and the announcement recently of 5,000 airline jobs and the attendant capability that rests with those workers, cannot be left to the market.</w:t>
      </w:r>
    </w:p>
    <w:p w:rsidR="00FD7082" w:rsidRDefault="00FD7082" w:rsidP="0071768B">
      <w:pPr>
        <w:shd w:val="clear" w:color="auto" w:fill="FFFFFF"/>
        <w:spacing w:after="240" w:line="240" w:lineRule="auto"/>
        <w:jc w:val="both"/>
        <w:rPr>
          <w:rFonts w:eastAsia="Times New Roman" w:cs="Times New Roman"/>
          <w:lang w:val="en-US"/>
        </w:rPr>
      </w:pPr>
      <w:r>
        <w:rPr>
          <w:rFonts w:eastAsia="Times New Roman" w:cs="Times New Roman"/>
          <w:lang w:val="en-US"/>
        </w:rPr>
        <w:t xml:space="preserve">There is a central role for a public provider that is responsive to the needs of community in delivering outcomes greater than the mere delivery of training for profit. </w:t>
      </w:r>
      <w:bookmarkStart w:id="0" w:name="_GoBack"/>
      <w:bookmarkEnd w:id="0"/>
    </w:p>
    <w:p w:rsidR="00697D0E" w:rsidRPr="00BE2B9F" w:rsidRDefault="0071768B" w:rsidP="0071768B">
      <w:pPr>
        <w:pStyle w:val="Heading1"/>
        <w:rPr>
          <w:rFonts w:eastAsia="Times New Roman"/>
          <w:lang w:val="en-US"/>
        </w:rPr>
      </w:pPr>
      <w:r>
        <w:rPr>
          <w:rFonts w:eastAsia="Times New Roman"/>
          <w:lang w:val="en-US"/>
        </w:rPr>
        <w:t>Additional Terms of Reference</w:t>
      </w:r>
    </w:p>
    <w:p w:rsidR="0071768B" w:rsidRDefault="0071768B" w:rsidP="00DD1596">
      <w:pPr>
        <w:pStyle w:val="NormalWeb"/>
        <w:spacing w:before="0" w:beforeAutospacing="0" w:after="240" w:afterAutospacing="0" w:line="252" w:lineRule="atLeast"/>
        <w:ind w:left="567" w:hanging="567"/>
        <w:textAlignment w:val="baseline"/>
        <w:rPr>
          <w:rFonts w:asciiTheme="minorHAnsi" w:hAnsiTheme="minorHAnsi" w:cs="Lucida Sans Unicode"/>
          <w:b/>
          <w:color w:val="000000"/>
          <w:sz w:val="22"/>
          <w:szCs w:val="22"/>
        </w:rPr>
      </w:pPr>
      <w:r w:rsidRPr="0071768B">
        <w:rPr>
          <w:rFonts w:asciiTheme="minorHAnsi" w:hAnsiTheme="minorHAnsi" w:cs="Lucida Sans Unicode"/>
          <w:b/>
          <w:color w:val="000000"/>
          <w:sz w:val="22"/>
          <w:szCs w:val="22"/>
        </w:rPr>
        <w:t xml:space="preserve">(b) </w:t>
      </w:r>
      <w:r w:rsidRPr="0071768B">
        <w:rPr>
          <w:rFonts w:asciiTheme="minorHAnsi" w:hAnsiTheme="minorHAnsi" w:cs="Lucida Sans Unicode"/>
          <w:b/>
          <w:color w:val="000000"/>
          <w:sz w:val="22"/>
          <w:szCs w:val="22"/>
        </w:rPr>
        <w:tab/>
      </w:r>
      <w:proofErr w:type="gramStart"/>
      <w:r w:rsidRPr="0071768B">
        <w:rPr>
          <w:rFonts w:asciiTheme="minorHAnsi" w:hAnsiTheme="minorHAnsi" w:cs="Lucida Sans Unicode"/>
          <w:b/>
          <w:color w:val="000000"/>
          <w:sz w:val="22"/>
          <w:szCs w:val="22"/>
        </w:rPr>
        <w:t>the</w:t>
      </w:r>
      <w:proofErr w:type="gramEnd"/>
      <w:r w:rsidRPr="0071768B">
        <w:rPr>
          <w:rFonts w:asciiTheme="minorHAnsi" w:hAnsiTheme="minorHAnsi" w:cs="Lucida Sans Unicode"/>
          <w:b/>
          <w:color w:val="000000"/>
          <w:sz w:val="22"/>
          <w:szCs w:val="22"/>
        </w:rPr>
        <w:t xml:space="preserve"> effects of a competitive training market on TAFE;</w:t>
      </w:r>
    </w:p>
    <w:p w:rsidR="0071768B" w:rsidRDefault="0071768B" w:rsidP="00DD1596">
      <w:pPr>
        <w:pStyle w:val="NormalWeb"/>
        <w:spacing w:before="0" w:beforeAutospacing="0" w:after="240" w:afterAutospacing="0" w:line="252" w:lineRule="atLeast"/>
        <w:ind w:left="567"/>
        <w:textAlignment w:val="baseline"/>
        <w:rPr>
          <w:rFonts w:asciiTheme="minorHAnsi" w:hAnsiTheme="minorHAnsi" w:cs="Lucida Sans Unicode"/>
          <w:color w:val="000000"/>
          <w:sz w:val="22"/>
          <w:szCs w:val="22"/>
        </w:rPr>
      </w:pPr>
      <w:r w:rsidRPr="0071768B">
        <w:rPr>
          <w:rFonts w:asciiTheme="minorHAnsi" w:hAnsiTheme="minorHAnsi" w:cs="Lucida Sans Unicode"/>
          <w:color w:val="000000"/>
          <w:sz w:val="22"/>
          <w:szCs w:val="22"/>
        </w:rPr>
        <w:t xml:space="preserve">There is clear evidence that the move to contestable funding models </w:t>
      </w:r>
      <w:r>
        <w:rPr>
          <w:rFonts w:asciiTheme="minorHAnsi" w:hAnsiTheme="minorHAnsi" w:cs="Lucida Sans Unicode"/>
          <w:color w:val="000000"/>
          <w:sz w:val="22"/>
          <w:szCs w:val="22"/>
        </w:rPr>
        <w:t>and student entitlement models is having a dram</w:t>
      </w:r>
      <w:r w:rsidR="00C658E3">
        <w:rPr>
          <w:rFonts w:asciiTheme="minorHAnsi" w:hAnsiTheme="minorHAnsi" w:cs="Lucida Sans Unicode"/>
          <w:color w:val="000000"/>
          <w:sz w:val="22"/>
          <w:szCs w:val="22"/>
        </w:rPr>
        <w:t>a</w:t>
      </w:r>
      <w:r>
        <w:rPr>
          <w:rFonts w:asciiTheme="minorHAnsi" w:hAnsiTheme="minorHAnsi" w:cs="Lucida Sans Unicode"/>
          <w:color w:val="000000"/>
          <w:sz w:val="22"/>
          <w:szCs w:val="22"/>
        </w:rPr>
        <w:t xml:space="preserve">tic effect on the ability of the TAFE </w:t>
      </w:r>
      <w:r w:rsidR="00C658E3">
        <w:rPr>
          <w:rFonts w:asciiTheme="minorHAnsi" w:hAnsiTheme="minorHAnsi" w:cs="Lucida Sans Unicode"/>
          <w:color w:val="000000"/>
          <w:sz w:val="22"/>
          <w:szCs w:val="22"/>
        </w:rPr>
        <w:t xml:space="preserve">to continue to deliver the very high levels of quality service the Australian community has come to expect in a rapidly changing funding environment that, for example, has seen 8 separate iterations of the list the South Australian Government uses to determine funding and entitlements to subsidies for training in South Australia since the introduction of its so-called </w:t>
      </w:r>
      <w:r w:rsidR="00C658E3">
        <w:rPr>
          <w:rFonts w:asciiTheme="minorHAnsi" w:hAnsiTheme="minorHAnsi" w:cs="Lucida Sans Unicode"/>
          <w:i/>
          <w:color w:val="000000"/>
          <w:sz w:val="22"/>
          <w:szCs w:val="22"/>
        </w:rPr>
        <w:t xml:space="preserve">Skills-for-All </w:t>
      </w:r>
      <w:r w:rsidR="00C658E3">
        <w:rPr>
          <w:rFonts w:asciiTheme="minorHAnsi" w:hAnsiTheme="minorHAnsi" w:cs="Lucida Sans Unicode"/>
          <w:color w:val="000000"/>
          <w:sz w:val="22"/>
          <w:szCs w:val="22"/>
        </w:rPr>
        <w:t>funding model.</w:t>
      </w:r>
    </w:p>
    <w:p w:rsidR="00C658E3" w:rsidRDefault="00C658E3" w:rsidP="00DD1596">
      <w:pPr>
        <w:pStyle w:val="NormalWeb"/>
        <w:spacing w:before="0" w:beforeAutospacing="0" w:after="240" w:afterAutospacing="0" w:line="252" w:lineRule="atLeast"/>
        <w:ind w:left="567"/>
        <w:textAlignment w:val="baseline"/>
        <w:rPr>
          <w:rFonts w:asciiTheme="minorHAnsi" w:hAnsiTheme="minorHAnsi" w:cs="Lucida Sans Unicode"/>
          <w:color w:val="000000"/>
          <w:sz w:val="22"/>
          <w:szCs w:val="22"/>
        </w:rPr>
      </w:pPr>
      <w:r>
        <w:rPr>
          <w:rFonts w:asciiTheme="minorHAnsi" w:hAnsiTheme="minorHAnsi" w:cs="Lucida Sans Unicode"/>
          <w:color w:val="000000"/>
          <w:sz w:val="22"/>
          <w:szCs w:val="22"/>
        </w:rPr>
        <w:t>The absence of an environment of relative stability and certainty about funding is leading to confusion and an environment where the market is being exploited for purely commercial reasons unrelated to the skills and workforce development needs of industry and the economy as a whole.</w:t>
      </w:r>
    </w:p>
    <w:p w:rsidR="00B07CAC" w:rsidRDefault="00B07CAC" w:rsidP="00DD1596">
      <w:pPr>
        <w:pStyle w:val="NormalWeb"/>
        <w:spacing w:before="0" w:beforeAutospacing="0" w:after="240" w:afterAutospacing="0" w:line="252" w:lineRule="atLeast"/>
        <w:ind w:left="567"/>
        <w:textAlignment w:val="baseline"/>
        <w:rPr>
          <w:rFonts w:asciiTheme="minorHAnsi" w:hAnsiTheme="minorHAnsi" w:cs="Lucida Sans Unicode"/>
          <w:color w:val="000000"/>
          <w:sz w:val="22"/>
          <w:szCs w:val="22"/>
        </w:rPr>
      </w:pPr>
      <w:r>
        <w:rPr>
          <w:rFonts w:asciiTheme="minorHAnsi" w:hAnsiTheme="minorHAnsi" w:cs="Lucida Sans Unicode"/>
          <w:color w:val="000000"/>
          <w:sz w:val="22"/>
          <w:szCs w:val="22"/>
        </w:rPr>
        <w:t>Cherry picking of high volume, low cost programs is rife, and the quality of outcomes is often questionable. Once the market has been saturated and Government’s catch up with the oversupply of graduates, the funding tap is wrenched closed and the market shifts to the next commercial opportunity and the cycle restarts.</w:t>
      </w:r>
    </w:p>
    <w:p w:rsidR="00C658E3" w:rsidRDefault="00C658E3" w:rsidP="00DD1596">
      <w:pPr>
        <w:pStyle w:val="NormalWeb"/>
        <w:spacing w:before="0" w:beforeAutospacing="0" w:after="240" w:afterAutospacing="0" w:line="252" w:lineRule="atLeast"/>
        <w:ind w:left="567"/>
        <w:textAlignment w:val="baseline"/>
        <w:rPr>
          <w:rFonts w:asciiTheme="minorHAnsi" w:hAnsiTheme="minorHAnsi" w:cs="Lucida Sans Unicode"/>
          <w:color w:val="000000"/>
          <w:sz w:val="22"/>
          <w:szCs w:val="22"/>
        </w:rPr>
      </w:pPr>
      <w:r>
        <w:rPr>
          <w:rFonts w:asciiTheme="minorHAnsi" w:hAnsiTheme="minorHAnsi" w:cs="Lucida Sans Unicode"/>
          <w:color w:val="000000"/>
          <w:sz w:val="22"/>
          <w:szCs w:val="22"/>
        </w:rPr>
        <w:t>We reiterate the submission we made in the 2013 Inquiry:</w:t>
      </w:r>
    </w:p>
    <w:p w:rsidR="00C658E3" w:rsidRPr="00C658E3" w:rsidRDefault="00C658E3" w:rsidP="00DD1596">
      <w:pPr>
        <w:pStyle w:val="NormalWeb"/>
        <w:spacing w:after="240" w:line="252" w:lineRule="atLeast"/>
        <w:ind w:left="992" w:right="521"/>
        <w:textAlignment w:val="baseline"/>
        <w:rPr>
          <w:rFonts w:asciiTheme="minorHAnsi" w:hAnsiTheme="minorHAnsi" w:cs="Lucida Sans Unicode"/>
          <w:i/>
          <w:color w:val="000000"/>
          <w:sz w:val="22"/>
          <w:szCs w:val="22"/>
        </w:rPr>
      </w:pPr>
      <w:r>
        <w:rPr>
          <w:rFonts w:asciiTheme="minorHAnsi" w:hAnsiTheme="minorHAnsi" w:cs="Lucida Sans Unicode"/>
          <w:color w:val="000000"/>
          <w:sz w:val="22"/>
          <w:szCs w:val="22"/>
        </w:rPr>
        <w:t>“</w:t>
      </w:r>
      <w:r w:rsidRPr="00C658E3">
        <w:rPr>
          <w:rFonts w:asciiTheme="minorHAnsi" w:hAnsiTheme="minorHAnsi" w:cs="Lucida Sans Unicode"/>
          <w:i/>
          <w:color w:val="000000"/>
          <w:sz w:val="22"/>
          <w:szCs w:val="22"/>
        </w:rPr>
        <w:t>The AMWU opposes the introduction of market ideology into education in all its forms.</w:t>
      </w:r>
    </w:p>
    <w:p w:rsidR="00C658E3" w:rsidRPr="00C658E3" w:rsidRDefault="00C658E3" w:rsidP="00DD1596">
      <w:pPr>
        <w:pStyle w:val="NormalWeb"/>
        <w:spacing w:after="240" w:line="252" w:lineRule="atLeast"/>
        <w:ind w:left="992" w:right="521"/>
        <w:textAlignment w:val="baseline"/>
        <w:rPr>
          <w:rFonts w:asciiTheme="minorHAnsi" w:hAnsiTheme="minorHAnsi" w:cs="Lucida Sans Unicode"/>
          <w:i/>
          <w:color w:val="000000"/>
          <w:sz w:val="22"/>
          <w:szCs w:val="22"/>
        </w:rPr>
      </w:pPr>
      <w:r w:rsidRPr="00C658E3">
        <w:rPr>
          <w:rFonts w:asciiTheme="minorHAnsi" w:hAnsiTheme="minorHAnsi" w:cs="Lucida Sans Unicode"/>
          <w:i/>
          <w:color w:val="000000"/>
          <w:sz w:val="22"/>
          <w:szCs w:val="22"/>
        </w:rPr>
        <w:t>Attempts to build a ‘training market’ have resulted in a serious and accelerating decline in the quality of outcomes that are resulting from what passes for nationally recognised vocational education and training.</w:t>
      </w:r>
    </w:p>
    <w:p w:rsidR="00C658E3" w:rsidRPr="00C658E3" w:rsidRDefault="00C658E3" w:rsidP="00DD1596">
      <w:pPr>
        <w:pStyle w:val="NormalWeb"/>
        <w:spacing w:after="240" w:line="252" w:lineRule="atLeast"/>
        <w:ind w:left="992" w:right="521"/>
        <w:textAlignment w:val="baseline"/>
        <w:rPr>
          <w:rFonts w:asciiTheme="minorHAnsi" w:hAnsiTheme="minorHAnsi" w:cs="Lucida Sans Unicode"/>
          <w:i/>
          <w:color w:val="000000"/>
          <w:sz w:val="22"/>
          <w:szCs w:val="22"/>
        </w:rPr>
      </w:pPr>
      <w:r w:rsidRPr="00C658E3">
        <w:rPr>
          <w:rFonts w:asciiTheme="minorHAnsi" w:hAnsiTheme="minorHAnsi" w:cs="Lucida Sans Unicode"/>
          <w:i/>
          <w:color w:val="000000"/>
          <w:sz w:val="22"/>
          <w:szCs w:val="22"/>
        </w:rPr>
        <w:t>This decline and the diminution in the relative market share of training delivery by the public provider is affecting the viability of TAFE and restricting its ability to maintain the broad scope of registration that has been one of its considerable strengths.</w:t>
      </w:r>
    </w:p>
    <w:p w:rsidR="00C658E3" w:rsidRPr="00C658E3" w:rsidRDefault="00C658E3" w:rsidP="00DD1596">
      <w:pPr>
        <w:pStyle w:val="NormalWeb"/>
        <w:spacing w:before="0" w:beforeAutospacing="0" w:after="240" w:afterAutospacing="0" w:line="252" w:lineRule="atLeast"/>
        <w:ind w:left="992" w:right="521"/>
        <w:textAlignment w:val="baseline"/>
        <w:rPr>
          <w:rFonts w:asciiTheme="minorHAnsi" w:hAnsiTheme="minorHAnsi" w:cs="Lucida Sans Unicode"/>
          <w:i/>
          <w:color w:val="000000"/>
          <w:sz w:val="22"/>
          <w:szCs w:val="22"/>
        </w:rPr>
      </w:pPr>
      <w:r w:rsidRPr="00C658E3">
        <w:rPr>
          <w:rFonts w:asciiTheme="minorHAnsi" w:hAnsiTheme="minorHAnsi" w:cs="Lucida Sans Unicode"/>
          <w:i/>
          <w:color w:val="000000"/>
          <w:sz w:val="22"/>
          <w:szCs w:val="22"/>
        </w:rPr>
        <w:t>Private providers are entering the market with a focus on activities from which they can generate the largest profit irrespective of social and/or economic needs of the broader community.</w:t>
      </w:r>
      <w:r>
        <w:rPr>
          <w:rFonts w:asciiTheme="minorHAnsi" w:hAnsiTheme="minorHAnsi" w:cs="Lucida Sans Unicode"/>
          <w:i/>
          <w:color w:val="000000"/>
          <w:sz w:val="22"/>
          <w:szCs w:val="22"/>
        </w:rPr>
        <w:t>”</w:t>
      </w:r>
    </w:p>
    <w:p w:rsidR="00DD1596" w:rsidRDefault="00DD1596" w:rsidP="00DD1596">
      <w:pPr>
        <w:ind w:left="567" w:hanging="567"/>
        <w:rPr>
          <w:b/>
        </w:rPr>
      </w:pPr>
      <w:r w:rsidRPr="00DD1596">
        <w:rPr>
          <w:b/>
        </w:rPr>
        <w:t xml:space="preserve">(c) </w:t>
      </w:r>
      <w:r w:rsidRPr="00DD1596">
        <w:rPr>
          <w:b/>
        </w:rPr>
        <w:tab/>
      </w:r>
      <w:proofErr w:type="gramStart"/>
      <w:r w:rsidRPr="00DD1596">
        <w:rPr>
          <w:b/>
        </w:rPr>
        <w:t>what</w:t>
      </w:r>
      <w:proofErr w:type="gramEnd"/>
      <w:r w:rsidRPr="00DD1596">
        <w:rPr>
          <w:b/>
        </w:rPr>
        <w:t xml:space="preserve"> public funding is adequate to ensure TAFEs remain in a strong and sustainable position to carry out their aims;</w:t>
      </w:r>
    </w:p>
    <w:p w:rsidR="00DD1596" w:rsidRPr="00B07CAC" w:rsidRDefault="00B07CAC" w:rsidP="00DD1596">
      <w:pPr>
        <w:ind w:left="567"/>
      </w:pPr>
      <w:r w:rsidRPr="00B07CAC">
        <w:t xml:space="preserve">We </w:t>
      </w:r>
      <w:r w:rsidR="000B644B">
        <w:t xml:space="preserve">support and </w:t>
      </w:r>
      <w:r w:rsidRPr="00B07CAC">
        <w:t>adopt the submissions of the ACTU in regard to this term of reference.</w:t>
      </w:r>
    </w:p>
    <w:p w:rsidR="00DD1596" w:rsidRDefault="00DD1596" w:rsidP="00DD1596">
      <w:pPr>
        <w:ind w:left="567" w:hanging="567"/>
        <w:rPr>
          <w:b/>
        </w:rPr>
      </w:pPr>
      <w:r w:rsidRPr="00DD1596">
        <w:rPr>
          <w:b/>
        </w:rPr>
        <w:t xml:space="preserve">(d) </w:t>
      </w:r>
      <w:r w:rsidRPr="00DD1596">
        <w:rPr>
          <w:b/>
        </w:rPr>
        <w:tab/>
      </w:r>
      <w:proofErr w:type="gramStart"/>
      <w:r w:rsidRPr="00DD1596">
        <w:rPr>
          <w:b/>
        </w:rPr>
        <w:t>what</w:t>
      </w:r>
      <w:proofErr w:type="gramEnd"/>
      <w:r w:rsidRPr="00DD1596">
        <w:rPr>
          <w:b/>
        </w:rPr>
        <w:t xml:space="preserve"> factors affect the affordability and accessibility of TAFE to students and business;</w:t>
      </w:r>
    </w:p>
    <w:p w:rsidR="00DD1596" w:rsidRDefault="00207BB6" w:rsidP="00DD1596">
      <w:pPr>
        <w:ind w:left="567"/>
      </w:pPr>
      <w:r w:rsidRPr="00207BB6">
        <w:t xml:space="preserve">Reduced funding per student </w:t>
      </w:r>
      <w:r>
        <w:t xml:space="preserve">and per qualification, and the complete withdrawal of funding for certain programs is significantly increasing the cost to students of participation in vocational education and training. </w:t>
      </w:r>
    </w:p>
    <w:p w:rsidR="00B07CAC" w:rsidRDefault="00B07CAC" w:rsidP="00DD1596">
      <w:pPr>
        <w:ind w:left="567"/>
      </w:pPr>
      <w:r>
        <w:t xml:space="preserve">The uncertainty means that decisions </w:t>
      </w:r>
      <w:r w:rsidR="000B644B">
        <w:t>are more likely to be made to support shorter term delivery options and cheaper to establish, cheaper to run programs will be chosen over the perhaps more strategically important, but more resource intensive programs like engineering trades and paraprofessional qualification which are so critical to building and transitioning the economy.</w:t>
      </w:r>
    </w:p>
    <w:p w:rsidR="00207BB6" w:rsidRDefault="00207BB6" w:rsidP="00DD1596">
      <w:pPr>
        <w:ind w:left="567"/>
      </w:pPr>
      <w:r>
        <w:t>At the same time, the imperative for industry to contribute to the production of the skills that they consume is being reduced.</w:t>
      </w:r>
    </w:p>
    <w:p w:rsidR="00B07CAC" w:rsidRDefault="00B07CAC" w:rsidP="00DD1596">
      <w:pPr>
        <w:ind w:left="567"/>
      </w:pPr>
      <w:r>
        <w:t>For many, TAFE is their only accessible post school educational institution, particularly for regional and remote students and those that suffer disadvantage.</w:t>
      </w:r>
    </w:p>
    <w:p w:rsidR="00B07CAC" w:rsidRDefault="00B07CAC" w:rsidP="00DD1596">
      <w:pPr>
        <w:ind w:left="567"/>
      </w:pPr>
      <w:r>
        <w:t>The additional support services provided by a well-resourced public provider are rarely found in commercial registered training organisation</w:t>
      </w:r>
      <w:r w:rsidR="00FD7082">
        <w:t>s</w:t>
      </w:r>
      <w:r>
        <w:t xml:space="preserve"> that exist for profit.</w:t>
      </w:r>
    </w:p>
    <w:p w:rsidR="00B07CAC" w:rsidRPr="00207BB6" w:rsidRDefault="00B07CAC" w:rsidP="00DD1596">
      <w:pPr>
        <w:ind w:left="567"/>
      </w:pPr>
      <w:r>
        <w:t xml:space="preserve">If TAFE is to compete with those commercial interests it is inevitable that they will succumb to participation in the ‘race-to-the-bottom’. </w:t>
      </w:r>
      <w:r w:rsidR="00FD7082">
        <w:t>The</w:t>
      </w:r>
      <w:r>
        <w:t xml:space="preserve"> consequences for those that require additional support will be dire, and likely to further exacerbate and already difficult set of economic and social circumstances for those individuals and the community as a whole.</w:t>
      </w:r>
    </w:p>
    <w:p w:rsidR="00DD1596" w:rsidRDefault="00DD1596" w:rsidP="00DD1596">
      <w:pPr>
        <w:ind w:left="567" w:hanging="567"/>
        <w:rPr>
          <w:b/>
        </w:rPr>
      </w:pPr>
      <w:r w:rsidRPr="00DD1596">
        <w:rPr>
          <w:b/>
        </w:rPr>
        <w:t xml:space="preserve">(e) </w:t>
      </w:r>
      <w:r w:rsidRPr="00DD1596">
        <w:rPr>
          <w:b/>
        </w:rPr>
        <w:tab/>
      </w:r>
      <w:proofErr w:type="gramStart"/>
      <w:r w:rsidRPr="00DD1596">
        <w:rPr>
          <w:b/>
        </w:rPr>
        <w:t>different</w:t>
      </w:r>
      <w:proofErr w:type="gramEnd"/>
      <w:r w:rsidRPr="00DD1596">
        <w:rPr>
          <w:b/>
        </w:rPr>
        <w:t xml:space="preserve"> mechanisms used by state governments to allocate funding; and</w:t>
      </w:r>
    </w:p>
    <w:p w:rsidR="00B07CAC" w:rsidRPr="00B07CAC" w:rsidRDefault="00B07CAC" w:rsidP="00B07CAC">
      <w:pPr>
        <w:ind w:left="567"/>
      </w:pPr>
      <w:r w:rsidRPr="00B07CAC">
        <w:t xml:space="preserve">We </w:t>
      </w:r>
      <w:r w:rsidR="000B644B">
        <w:t xml:space="preserve">support and </w:t>
      </w:r>
      <w:r w:rsidRPr="00B07CAC">
        <w:t>adopt the submissions of the ACTU in regard to this term of reference.</w:t>
      </w:r>
    </w:p>
    <w:p w:rsidR="00DD1596" w:rsidRDefault="00DD1596" w:rsidP="00DD1596">
      <w:pPr>
        <w:ind w:left="567" w:hanging="567"/>
        <w:rPr>
          <w:b/>
        </w:rPr>
      </w:pPr>
      <w:r w:rsidRPr="00DD1596">
        <w:rPr>
          <w:b/>
        </w:rPr>
        <w:t xml:space="preserve">(f) </w:t>
      </w:r>
      <w:r w:rsidRPr="00DD1596">
        <w:rPr>
          <w:b/>
        </w:rPr>
        <w:tab/>
      </w:r>
      <w:proofErr w:type="gramStart"/>
      <w:r w:rsidRPr="00DD1596">
        <w:rPr>
          <w:b/>
        </w:rPr>
        <w:t>the</w:t>
      </w:r>
      <w:proofErr w:type="gramEnd"/>
      <w:r w:rsidRPr="00DD1596">
        <w:rPr>
          <w:b/>
        </w:rPr>
        <w:t xml:space="preserve"> application and effect of additional charges to TAFE students.</w:t>
      </w:r>
    </w:p>
    <w:p w:rsidR="00DD1596" w:rsidRDefault="000B644B" w:rsidP="000A41AF">
      <w:pPr>
        <w:ind w:left="567"/>
        <w:jc w:val="both"/>
      </w:pPr>
      <w:r>
        <w:t>At its simplest, the application and effect of additional charges to TAFE students means that less of those with disadvantage, that need vocational education and training and the vehicle that represents for transforming their lives, will participate. The long term damage that on its own will do to those people will be catastrophic and will entrench already unacceptable levels of welfare dependence.</w:t>
      </w:r>
    </w:p>
    <w:p w:rsidR="000B644B" w:rsidRDefault="000B644B" w:rsidP="000A41AF">
      <w:pPr>
        <w:ind w:left="567"/>
        <w:jc w:val="both"/>
      </w:pPr>
      <w:r>
        <w:t>The damage it will do to the Australian economy, through reduced workforce participation and reduced opportunity as the economy starts to recover will add to skills shortages and increased dependence on an uncertain and unsustainable supply of imported labour.</w:t>
      </w:r>
    </w:p>
    <w:p w:rsidR="00DD1596" w:rsidRDefault="00DD1596" w:rsidP="000A41AF">
      <w:pPr>
        <w:ind w:left="567"/>
        <w:jc w:val="both"/>
      </w:pPr>
    </w:p>
    <w:p w:rsidR="00D83E9B" w:rsidRDefault="00D83E9B" w:rsidP="000A41AF">
      <w:pPr>
        <w:ind w:left="567"/>
        <w:jc w:val="both"/>
      </w:pPr>
      <w:r>
        <w:t>ENDS</w:t>
      </w:r>
    </w:p>
    <w:sectPr w:rsidR="00D83E9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D52" w:rsidRDefault="00957D52" w:rsidP="00C13AA6">
      <w:pPr>
        <w:spacing w:after="0" w:line="240" w:lineRule="auto"/>
      </w:pPr>
      <w:r>
        <w:separator/>
      </w:r>
    </w:p>
  </w:endnote>
  <w:endnote w:type="continuationSeparator" w:id="0">
    <w:p w:rsidR="00957D52" w:rsidRDefault="00957D52" w:rsidP="00C13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yriadPro-Semibold">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D52" w:rsidRDefault="00957D52" w:rsidP="00C13AA6">
      <w:pPr>
        <w:spacing w:after="0" w:line="240" w:lineRule="auto"/>
      </w:pPr>
      <w:r>
        <w:separator/>
      </w:r>
    </w:p>
  </w:footnote>
  <w:footnote w:type="continuationSeparator" w:id="0">
    <w:p w:rsidR="00957D52" w:rsidRDefault="00957D52" w:rsidP="00C13A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AF"/>
    <w:multiLevelType w:val="hybridMultilevel"/>
    <w:tmpl w:val="0900BA9C"/>
    <w:lvl w:ilvl="0" w:tplc="6CE4D1B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13A6677"/>
    <w:multiLevelType w:val="hybridMultilevel"/>
    <w:tmpl w:val="43E067E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F2D176E"/>
    <w:multiLevelType w:val="hybridMultilevel"/>
    <w:tmpl w:val="0A7235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8E11804"/>
    <w:multiLevelType w:val="hybridMultilevel"/>
    <w:tmpl w:val="F6BE99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205DF"/>
    <w:multiLevelType w:val="hybridMultilevel"/>
    <w:tmpl w:val="EF0C3D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90D1421"/>
    <w:multiLevelType w:val="hybridMultilevel"/>
    <w:tmpl w:val="B4328B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CF1557D"/>
    <w:multiLevelType w:val="hybridMultilevel"/>
    <w:tmpl w:val="B02E66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92D7D30"/>
    <w:multiLevelType w:val="hybridMultilevel"/>
    <w:tmpl w:val="D8D85CB0"/>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3"/>
  </w:num>
  <w:num w:numId="5">
    <w:abstractNumId w:val="5"/>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07"/>
    <w:rsid w:val="000A41AF"/>
    <w:rsid w:val="000B6219"/>
    <w:rsid w:val="000B644B"/>
    <w:rsid w:val="000C742D"/>
    <w:rsid w:val="001037E4"/>
    <w:rsid w:val="001F7BE8"/>
    <w:rsid w:val="00207BB6"/>
    <w:rsid w:val="002B663A"/>
    <w:rsid w:val="00384C4B"/>
    <w:rsid w:val="003B737A"/>
    <w:rsid w:val="003B7A3C"/>
    <w:rsid w:val="003C75EF"/>
    <w:rsid w:val="004C4F93"/>
    <w:rsid w:val="00535E34"/>
    <w:rsid w:val="005C54A6"/>
    <w:rsid w:val="00697D0E"/>
    <w:rsid w:val="00710A1B"/>
    <w:rsid w:val="00714BD8"/>
    <w:rsid w:val="0071768B"/>
    <w:rsid w:val="007F6A07"/>
    <w:rsid w:val="008C0138"/>
    <w:rsid w:val="008E1C2C"/>
    <w:rsid w:val="008F3286"/>
    <w:rsid w:val="00957D52"/>
    <w:rsid w:val="009672F2"/>
    <w:rsid w:val="009C3ED1"/>
    <w:rsid w:val="00A15645"/>
    <w:rsid w:val="00A263C0"/>
    <w:rsid w:val="00A64E0B"/>
    <w:rsid w:val="00B07CAC"/>
    <w:rsid w:val="00B62FAD"/>
    <w:rsid w:val="00BA6516"/>
    <w:rsid w:val="00BE2B9F"/>
    <w:rsid w:val="00C13AA6"/>
    <w:rsid w:val="00C658E3"/>
    <w:rsid w:val="00CA761F"/>
    <w:rsid w:val="00CB66CB"/>
    <w:rsid w:val="00D83E9B"/>
    <w:rsid w:val="00DD1596"/>
    <w:rsid w:val="00E1081D"/>
    <w:rsid w:val="00FD70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037E4"/>
    <w:pPr>
      <w:keepNext/>
      <w:keepLines/>
      <w:spacing w:before="480" w:after="24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37E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C13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AA6"/>
    <w:rPr>
      <w:rFonts w:ascii="Tahoma" w:hAnsi="Tahoma" w:cs="Tahoma"/>
      <w:sz w:val="16"/>
      <w:szCs w:val="16"/>
    </w:rPr>
  </w:style>
  <w:style w:type="paragraph" w:styleId="Header">
    <w:name w:val="header"/>
    <w:basedOn w:val="Normal"/>
    <w:link w:val="HeaderChar"/>
    <w:uiPriority w:val="99"/>
    <w:unhideWhenUsed/>
    <w:rsid w:val="00C13A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3AA6"/>
  </w:style>
  <w:style w:type="paragraph" w:styleId="Footer">
    <w:name w:val="footer"/>
    <w:basedOn w:val="Normal"/>
    <w:link w:val="FooterChar"/>
    <w:uiPriority w:val="99"/>
    <w:unhideWhenUsed/>
    <w:rsid w:val="00C13A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3AA6"/>
  </w:style>
  <w:style w:type="paragraph" w:customStyle="1" w:styleId="Text">
    <w:name w:val="Text"/>
    <w:rsid w:val="000C742D"/>
    <w:pPr>
      <w:spacing w:before="160" w:after="0" w:line="300" w:lineRule="exact"/>
      <w:ind w:right="-369"/>
    </w:pPr>
    <w:rPr>
      <w:rFonts w:ascii="Trebuchet MS" w:eastAsia="Times New Roman" w:hAnsi="Trebuchet MS" w:cs="Times New Roman"/>
      <w:sz w:val="19"/>
      <w:szCs w:val="20"/>
    </w:rPr>
  </w:style>
  <w:style w:type="paragraph" w:styleId="Quote">
    <w:name w:val="Quote"/>
    <w:basedOn w:val="Text"/>
    <w:link w:val="QuoteChar"/>
    <w:qFormat/>
    <w:rsid w:val="000C742D"/>
    <w:pPr>
      <w:tabs>
        <w:tab w:val="right" w:pos="7853"/>
      </w:tabs>
      <w:spacing w:before="80"/>
      <w:ind w:left="567" w:right="652"/>
    </w:pPr>
    <w:rPr>
      <w:sz w:val="17"/>
    </w:rPr>
  </w:style>
  <w:style w:type="character" w:customStyle="1" w:styleId="QuoteChar">
    <w:name w:val="Quote Char"/>
    <w:basedOn w:val="DefaultParagraphFont"/>
    <w:link w:val="Quote"/>
    <w:rsid w:val="000C742D"/>
    <w:rPr>
      <w:rFonts w:ascii="Trebuchet MS" w:eastAsia="Times New Roman" w:hAnsi="Trebuchet MS" w:cs="Times New Roman"/>
      <w:sz w:val="17"/>
      <w:szCs w:val="20"/>
    </w:rPr>
  </w:style>
  <w:style w:type="paragraph" w:styleId="FootnoteText">
    <w:name w:val="footnote text"/>
    <w:basedOn w:val="Normal"/>
    <w:link w:val="FootnoteTextChar"/>
    <w:uiPriority w:val="99"/>
    <w:semiHidden/>
    <w:unhideWhenUsed/>
    <w:rsid w:val="003B7A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7A3C"/>
    <w:rPr>
      <w:sz w:val="20"/>
      <w:szCs w:val="20"/>
    </w:rPr>
  </w:style>
  <w:style w:type="character" w:styleId="FootnoteReference">
    <w:name w:val="footnote reference"/>
    <w:basedOn w:val="DefaultParagraphFont"/>
    <w:uiPriority w:val="99"/>
    <w:semiHidden/>
    <w:unhideWhenUsed/>
    <w:rsid w:val="003B7A3C"/>
    <w:rPr>
      <w:vertAlign w:val="superscript"/>
    </w:rPr>
  </w:style>
  <w:style w:type="character" w:styleId="Hyperlink">
    <w:name w:val="Hyperlink"/>
    <w:basedOn w:val="DefaultParagraphFont"/>
    <w:uiPriority w:val="99"/>
    <w:unhideWhenUsed/>
    <w:rsid w:val="002B663A"/>
    <w:rPr>
      <w:color w:val="0000FF" w:themeColor="hyperlink"/>
      <w:u w:val="single"/>
    </w:rPr>
  </w:style>
  <w:style w:type="paragraph" w:styleId="NormalWeb">
    <w:name w:val="Normal (Web)"/>
    <w:basedOn w:val="Normal"/>
    <w:uiPriority w:val="99"/>
    <w:semiHidden/>
    <w:unhideWhenUsed/>
    <w:rsid w:val="001037E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1037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037E4"/>
    <w:pPr>
      <w:keepNext/>
      <w:keepLines/>
      <w:spacing w:before="480" w:after="24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37E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C13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AA6"/>
    <w:rPr>
      <w:rFonts w:ascii="Tahoma" w:hAnsi="Tahoma" w:cs="Tahoma"/>
      <w:sz w:val="16"/>
      <w:szCs w:val="16"/>
    </w:rPr>
  </w:style>
  <w:style w:type="paragraph" w:styleId="Header">
    <w:name w:val="header"/>
    <w:basedOn w:val="Normal"/>
    <w:link w:val="HeaderChar"/>
    <w:uiPriority w:val="99"/>
    <w:unhideWhenUsed/>
    <w:rsid w:val="00C13A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3AA6"/>
  </w:style>
  <w:style w:type="paragraph" w:styleId="Footer">
    <w:name w:val="footer"/>
    <w:basedOn w:val="Normal"/>
    <w:link w:val="FooterChar"/>
    <w:uiPriority w:val="99"/>
    <w:unhideWhenUsed/>
    <w:rsid w:val="00C13A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3AA6"/>
  </w:style>
  <w:style w:type="paragraph" w:customStyle="1" w:styleId="Text">
    <w:name w:val="Text"/>
    <w:rsid w:val="000C742D"/>
    <w:pPr>
      <w:spacing w:before="160" w:after="0" w:line="300" w:lineRule="exact"/>
      <w:ind w:right="-369"/>
    </w:pPr>
    <w:rPr>
      <w:rFonts w:ascii="Trebuchet MS" w:eastAsia="Times New Roman" w:hAnsi="Trebuchet MS" w:cs="Times New Roman"/>
      <w:sz w:val="19"/>
      <w:szCs w:val="20"/>
    </w:rPr>
  </w:style>
  <w:style w:type="paragraph" w:styleId="Quote">
    <w:name w:val="Quote"/>
    <w:basedOn w:val="Text"/>
    <w:link w:val="QuoteChar"/>
    <w:qFormat/>
    <w:rsid w:val="000C742D"/>
    <w:pPr>
      <w:tabs>
        <w:tab w:val="right" w:pos="7853"/>
      </w:tabs>
      <w:spacing w:before="80"/>
      <w:ind w:left="567" w:right="652"/>
    </w:pPr>
    <w:rPr>
      <w:sz w:val="17"/>
    </w:rPr>
  </w:style>
  <w:style w:type="character" w:customStyle="1" w:styleId="QuoteChar">
    <w:name w:val="Quote Char"/>
    <w:basedOn w:val="DefaultParagraphFont"/>
    <w:link w:val="Quote"/>
    <w:rsid w:val="000C742D"/>
    <w:rPr>
      <w:rFonts w:ascii="Trebuchet MS" w:eastAsia="Times New Roman" w:hAnsi="Trebuchet MS" w:cs="Times New Roman"/>
      <w:sz w:val="17"/>
      <w:szCs w:val="20"/>
    </w:rPr>
  </w:style>
  <w:style w:type="paragraph" w:styleId="FootnoteText">
    <w:name w:val="footnote text"/>
    <w:basedOn w:val="Normal"/>
    <w:link w:val="FootnoteTextChar"/>
    <w:uiPriority w:val="99"/>
    <w:semiHidden/>
    <w:unhideWhenUsed/>
    <w:rsid w:val="003B7A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7A3C"/>
    <w:rPr>
      <w:sz w:val="20"/>
      <w:szCs w:val="20"/>
    </w:rPr>
  </w:style>
  <w:style w:type="character" w:styleId="FootnoteReference">
    <w:name w:val="footnote reference"/>
    <w:basedOn w:val="DefaultParagraphFont"/>
    <w:uiPriority w:val="99"/>
    <w:semiHidden/>
    <w:unhideWhenUsed/>
    <w:rsid w:val="003B7A3C"/>
    <w:rPr>
      <w:vertAlign w:val="superscript"/>
    </w:rPr>
  </w:style>
  <w:style w:type="character" w:styleId="Hyperlink">
    <w:name w:val="Hyperlink"/>
    <w:basedOn w:val="DefaultParagraphFont"/>
    <w:uiPriority w:val="99"/>
    <w:unhideWhenUsed/>
    <w:rsid w:val="002B663A"/>
    <w:rPr>
      <w:color w:val="0000FF" w:themeColor="hyperlink"/>
      <w:u w:val="single"/>
    </w:rPr>
  </w:style>
  <w:style w:type="paragraph" w:styleId="NormalWeb">
    <w:name w:val="Normal (Web)"/>
    <w:basedOn w:val="Normal"/>
    <w:uiPriority w:val="99"/>
    <w:semiHidden/>
    <w:unhideWhenUsed/>
    <w:rsid w:val="001037E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1037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97469">
      <w:bodyDiv w:val="1"/>
      <w:marLeft w:val="0"/>
      <w:marRight w:val="0"/>
      <w:marTop w:val="0"/>
      <w:marBottom w:val="0"/>
      <w:divBdr>
        <w:top w:val="none" w:sz="0" w:space="0" w:color="auto"/>
        <w:left w:val="none" w:sz="0" w:space="0" w:color="auto"/>
        <w:bottom w:val="none" w:sz="0" w:space="0" w:color="auto"/>
        <w:right w:val="none" w:sz="0" w:space="0" w:color="auto"/>
      </w:divBdr>
    </w:div>
    <w:div w:id="719205851">
      <w:bodyDiv w:val="1"/>
      <w:marLeft w:val="0"/>
      <w:marRight w:val="0"/>
      <w:marTop w:val="0"/>
      <w:marBottom w:val="0"/>
      <w:divBdr>
        <w:top w:val="none" w:sz="0" w:space="0" w:color="auto"/>
        <w:left w:val="none" w:sz="0" w:space="0" w:color="auto"/>
        <w:bottom w:val="none" w:sz="0" w:space="0" w:color="auto"/>
        <w:right w:val="none" w:sz="0" w:space="0" w:color="auto"/>
      </w:divBdr>
    </w:div>
    <w:div w:id="175920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mailto:ian.curry@amwu.asn.au" TargetMode="External"/><Relationship Id="rId4" Type="http://schemas.microsoft.com/office/2007/relationships/stylesWithEffects" Target="stylesWithEffects.xml"/><Relationship Id="rId9" Type="http://schemas.openxmlformats.org/officeDocument/2006/relationships/hyperlink" Target="mailto:eec.sen@ap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3D94B-489B-4C98-868B-31D1D4A90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6</Pages>
  <Words>1538</Words>
  <Characters>8767</Characters>
  <Application>Microsoft Office Word</Application>
  <DocSecurity>0</DocSecurity>
  <Lines>73</Lines>
  <Paragraphs>20</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Submission</vt:lpstr>
      <vt:lpstr>Technical and further education in Australia</vt:lpstr>
      <vt:lpstr>Introduction </vt:lpstr>
      <vt:lpstr>Terms of Reference</vt:lpstr>
      <vt:lpstr>Additional Terms of Reference</vt:lpstr>
    </vt:vector>
  </TitlesOfParts>
  <Company>HP</Company>
  <LinksUpToDate>false</LinksUpToDate>
  <CharactersWithSpaces>10285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dc:title>
  <dc:subject>Education and Employment Standing Committee TAFE Inquiry April 2013</dc:subject>
  <dc:creator>Ian Curry</dc:creator>
  <cp:keywords>TAFE;VET Policy</cp:keywords>
  <cp:lastModifiedBy>Ian Curry </cp:lastModifiedBy>
  <cp:revision>3</cp:revision>
  <dcterms:created xsi:type="dcterms:W3CDTF">2014-03-07T05:31:00Z</dcterms:created>
  <dcterms:modified xsi:type="dcterms:W3CDTF">2014-03-07T06:26:00Z</dcterms:modified>
</cp:coreProperties>
</file>